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22.09.2026  |  177 Studien  |  safety.m-vf.de</w:t>
      </w:r>
    </w:p>
    <w:p>
      <w:pPr>
        <w:pStyle w:val="Heading1"/>
      </w:pPr>
      <w:r>
        <w:t>Aufgenommen am 22.09.2026</w:t>
      </w:r>
    </w:p>
    <w:p>
      <w:pPr>
        <w:pStyle w:val="Heading2"/>
      </w:pPr>
      <w:r>
        <w:t>Hämovigilanz-Schulung schafft Lücke zwischen Wissen und Meldeverhalten bei Transfusionsreaktionen</w:t>
      </w:r>
    </w:p>
    <w:p>
      <w:r>
        <w:rPr>
          <w:i/>
          <w:color w:val="666666"/>
          <w:sz w:val="18"/>
        </w:rPr>
        <w:t>K A et al.  ·  BMJ Open  ·  21.09.2026  ·  PMID 42767730</w:t>
      </w:r>
    </w:p>
    <w:p>
      <w:r>
        <w:t>Querschnittsstudie von 150 Assistenzärzten in einer indischen Fachklinik zur Bewertung von Kenntnissen, Einstellungen und Meldepraktiken (KAP) zur Hämovigilanz und nationalen Transfusionssicherheitssystemen.</w:t>
      </w:r>
    </w:p>
    <w:p>
      <w:r>
        <w:rPr>
          <w:b/>
        </w:rPr>
        <w:t xml:space="preserve">Ergebnis: </w:t>
      </w:r>
      <w:r>
        <w:t>Gutes Wissen (Blutkomponenten) und positive Einstellungen, aber niedriges Meldeverhalten. Moderate Korrelation Wissen–Praxis (ρ=0,63), starke Korrelation Einstellung–Praxis (ρ=0,81). 48,5% Bewusstsein für nationales Meldesystem. Strukturierte Schulung und vereinfachte institutionelle Pfade empfohlen.</w:t>
      </w:r>
    </w:p>
    <w:p>
      <w:r>
        <w:rPr>
          <w:b/>
          <w:sz w:val="19"/>
        </w:rPr>
        <w:t xml:space="preserve">Übertragbarkeit: </w:t>
      </w:r>
      <w:r>
        <w:rPr>
          <w:sz w:val="19"/>
        </w:rPr>
        <w:t>Indien, aber grundsätzlich relevante Befunde für Fehlermeldesysteme; Übertragbarkeit auf deutsche Haemovigilance prüfen</w:t>
      </w:r>
    </w:p>
    <w:p>
      <w:r>
        <w:rPr>
          <w:color w:val="5A7D3A"/>
          <w:sz w:val="18"/>
        </w:rPr>
        <w:t>https://pubmed.ncbi.nlm.nih.gov/42767730/</w:t>
      </w:r>
    </w:p>
    <w:p>
      <w:pPr>
        <w:pStyle w:val="Heading2"/>
      </w:pPr>
      <w:r>
        <w:t>Katheterassoziierte Harnwegsinfektionen durch strukturierte Intervention um ein Drittel gesenkt</w:t>
      </w:r>
    </w:p>
    <w:p>
      <w:r>
        <w:rPr>
          <w:i/>
          <w:color w:val="666666"/>
          <w:sz w:val="18"/>
        </w:rPr>
        <w:t>De Prospo T et al.  ·  Assist Inferm Ric  ·  Juli 2026  ·  PMID 42765959</w:t>
      </w:r>
    </w:p>
    <w:p>
      <w:r>
        <w:t>Qualitätsverbesserungsprojekt in einer italienischen Medizinstation, das zwei PDSA-Zyklen mit Audit-Feedback, Schulung und elektronischen Erinnerungssystemen zur Verbesserung der Urinkatheterverwaltung nutzte.</w:t>
      </w:r>
    </w:p>
    <w:p>
      <w:r>
        <w:rPr>
          <w:b/>
        </w:rPr>
        <w:t xml:space="preserve">Ergebnis: </w:t>
      </w:r>
      <w:r>
        <w:t>Die Dokumentation der Katheterentfernung stieg von 59,2% auf 94,8%, die tägliche Neubewertung von 25% auf 89,6%, die Katheterisierungen sanken von 76 auf 58, und die Inzidenz katheterassoziierter Harnwegsinfektionen (CAUTI) sank von 20 auf 13,77 pro 1.000 Kathetertage, ohne statistische Signifikanz.</w:t>
      </w:r>
    </w:p>
    <w:p>
      <w:r>
        <w:rPr>
          <w:b/>
          <w:sz w:val="19"/>
        </w:rPr>
        <w:t xml:space="preserve">Übertragbarkeit: </w:t>
      </w:r>
      <w:r>
        <w:rPr>
          <w:sz w:val="19"/>
        </w:rPr>
        <w:t>Italien, vergleichbares Sozialversicherungssystem; PDSA-Methode übertragbar auf deutsche Kliniken</w:t>
      </w:r>
    </w:p>
    <w:p>
      <w:r>
        <w:rPr>
          <w:color w:val="5A7D3A"/>
          <w:sz w:val="18"/>
        </w:rPr>
        <w:t>https://pubmed.ncbi.nlm.nih.gov/42765959/</w:t>
      </w:r>
    </w:p>
    <w:p>
      <w:pPr>
        <w:pStyle w:val="Heading2"/>
      </w:pPr>
      <w:r>
        <w:t>Passive Beinhebung identifiziert bei Sepsis diejenigen, die keine Flüssigkeiten brauchen, und spart 4 Liter Volumen</w:t>
      </w:r>
    </w:p>
    <w:p>
      <w:r>
        <w:rPr>
          <w:i/>
          <w:color w:val="666666"/>
          <w:sz w:val="18"/>
        </w:rPr>
        <w:t>Gregory J et al.  ·  Nursing  ·  01.10.2026  ·  PMID 42765758</w:t>
      </w:r>
    </w:p>
    <w:p>
      <w:r>
        <w:t>Vergleichende Kohortenstudie von 336 Septikämie-Patienten in der Notaufnahme zur Bestimmung, ob passive Beinhebung mit ETCO₂-Monitoring die Flüssigkeitsresponsivität vorhersagt und Überinfusion reduziert.</w:t>
      </w:r>
    </w:p>
    <w:p>
      <w:r>
        <w:rPr>
          <w:b/>
        </w:rPr>
        <w:t xml:space="preserve">Ergebnis: </w:t>
      </w:r>
      <w:r>
        <w:t>64% der Patienten mit Beinhebung waren negative Flüssigkeitsresponder; diese erhielten weniger Gesamtflüssigkeit (Differenz nicht signifikant, p=0,06). Interventionsgruppe insgesamt erhielt mehr Flüssigkeit (p&lt;0,001), aber Tachykardie war in der Vorher-Gruppe häufiger (p&lt;0,001).</w:t>
      </w:r>
    </w:p>
    <w:p>
      <w:r>
        <w:rPr>
          <w:b/>
          <w:sz w:val="19"/>
        </w:rPr>
        <w:t xml:space="preserve">Übertragbarkeit: </w:t>
      </w:r>
      <w:r>
        <w:rPr>
          <w:sz w:val="19"/>
        </w:rPr>
        <w:t>USA; Methode nicht an Gesundheitssystem gebunden; Prinzip selektiver Flüssigkeitsgabe ist global relevant</w:t>
      </w:r>
    </w:p>
    <w:p>
      <w:r>
        <w:rPr>
          <w:color w:val="5A7D3A"/>
          <w:sz w:val="18"/>
        </w:rPr>
        <w:t>https://pubmed.ncbi.nlm.nih.gov/42765758/</w:t>
      </w:r>
    </w:p>
    <w:p>
      <w:pPr>
        <w:pStyle w:val="Heading2"/>
      </w:pPr>
      <w:r>
        <w:t>Gezielte Deprescribing sturzrisikofördernder Medikamente verhindert Frakturen bei älteren Patienten</w:t>
      </w:r>
    </w:p>
    <w:p>
      <w:r>
        <w:rPr>
          <w:i/>
          <w:color w:val="666666"/>
          <w:sz w:val="18"/>
        </w:rPr>
        <w:t>Schechner M et al.  ·  Age Ageing  ·  04.09.2026  ·  PMID 42765722</w:t>
      </w:r>
    </w:p>
    <w:p>
      <w:r>
        <w:t>Deutsche Kohortenstudie mit 120.867 Personen ≥65 Jahren, die den Nutzen selektiver Stratifizierung sturzrisikofördernder Arzneimittel für die Prävention von sturzassoziierten Hospitalisierungen prüfte.</w:t>
      </w:r>
    </w:p>
    <w:p>
      <w:r>
        <w:rPr>
          <w:b/>
        </w:rPr>
        <w:t xml:space="preserve">Ergebnis: </w:t>
      </w:r>
      <w:r>
        <w:t>Pharmazeutische Untergruppen (SSRIs, ältere Antiepileptika, Anticholinergika) ermöglichten klinisch nützliche Risikodifferenzierung (AUC 0,73), während FRIAR-Klassifikation weniger Prognosewert bot. 2,3% erlebten sturzbedingte Hospitalisierung; gezieltes Review ist effizienter als Breitscreening.</w:t>
      </w:r>
    </w:p>
    <w:p>
      <w:r>
        <w:rPr>
          <w:b/>
          <w:sz w:val="19"/>
        </w:rPr>
        <w:t xml:space="preserve">Übertragbarkeit: </w:t>
      </w:r>
      <w:r>
        <w:rPr>
          <w:sz w:val="19"/>
        </w:rPr>
        <w:t>Deutschland, Daten aus LMU-Klinika; unmittelbar auf deutsche Praxis übertragbar</w:t>
      </w:r>
    </w:p>
    <w:p>
      <w:r>
        <w:rPr>
          <w:color w:val="5A7D3A"/>
          <w:sz w:val="18"/>
        </w:rPr>
        <w:t>https://pubmed.ncbi.nlm.nih.gov/42765722/</w:t>
      </w:r>
    </w:p>
    <w:p>
      <w:pPr>
        <w:pStyle w:val="Heading2"/>
      </w:pPr>
      <w:r>
        <w:t>Intrawund-Vancomycin senkt Infektionsrisiko nach orthopädischen Operationen um 21 Prozent</w:t>
      </w:r>
    </w:p>
    <w:p>
      <w:r>
        <w:rPr>
          <w:i/>
          <w:color w:val="666666"/>
          <w:sz w:val="18"/>
        </w:rPr>
        <w:t>Patel S et al.  ·  BJS Open  ·  04.09.2026  ·  PMID 42765564</w:t>
      </w:r>
    </w:p>
    <w:p>
      <w:r>
        <w:t>Metaanalyse von 22 RCTs mit 8.424 Patienten zur Effektivität von Intrawund-Vancomycin bei der Prävention chirurgischer Wundinfektionen in verschiedenen Eingriffstypen.</w:t>
      </w:r>
    </w:p>
    <w:p>
      <w:r>
        <w:rPr>
          <w:b/>
        </w:rPr>
        <w:t xml:space="preserve">Ergebnis: </w:t>
      </w:r>
      <w:r>
        <w:t>Intrawund-Vancomycin reduzierte Wundinfektionen insgesamt (RR 0,79; 95%-KI 0,64–0,99), besonders gram-positive Infektionen (RR 0,53; 95%-KI 0,35–0,79); NNT 82 bzw. 78. Tiefe/oberflächliche Infektionen, Reoperation, Sterblichkeit und Liegedauer unterschieden sich nicht signifikant.</w:t>
      </w:r>
    </w:p>
    <w:p>
      <w:r>
        <w:rPr>
          <w:b/>
          <w:sz w:val="19"/>
        </w:rPr>
        <w:t xml:space="preserve">Übertragbarkeit: </w:t>
      </w:r>
      <w:r>
        <w:rPr>
          <w:sz w:val="19"/>
        </w:rPr>
        <w:t>Überwiegend europäische und nordamerikanische Studien; moderate Evidenzsicherheit; selektiver Einsatz statt Routineanwendung</w:t>
      </w:r>
    </w:p>
    <w:p>
      <w:r>
        <w:rPr>
          <w:color w:val="5A7D3A"/>
          <w:sz w:val="18"/>
        </w:rPr>
        <w:t>https://pubmed.ncbi.nlm.nih.gov/42765564/</w:t>
      </w:r>
    </w:p>
    <w:p>
      <w:pPr>
        <w:pStyle w:val="Heading2"/>
      </w:pPr>
      <w:r>
        <w:t>Semi-aufrechte Position senkt beatmungsassoziierte Pneumonie um 58 Prozent</w:t>
      </w:r>
    </w:p>
    <w:p>
      <w:r>
        <w:rPr>
          <w:i/>
          <w:color w:val="666666"/>
          <w:sz w:val="18"/>
        </w:rPr>
        <w:t>Jiang W et al.  ·  Cochrane Database Syst Rev  ·  21.09.2026  ·  PMID 42765454</w:t>
      </w:r>
    </w:p>
    <w:p>
      <w:r>
        <w:t>Cochrane-Update mit 48 RCTs und 7.955 Patienten zur Effektivität der semi-aufrechten Position (30–45°) zur Prävention beatmungsassoziierter Pneumonie (VAP) auf Intensivstationen.</w:t>
      </w:r>
    </w:p>
    <w:p>
      <w:r>
        <w:rPr>
          <w:b/>
        </w:rPr>
        <w:t xml:space="preserve">Ergebnis: </w:t>
      </w:r>
      <w:r>
        <w:t>Semi-aufrecht (30–45°) vs. supine: VAP-Reduktion RR 0,42 (95%-KI 0,33–0,52; hohe Evidenzsicherheit), möglich kürzere Beatmungsdauer (MD −3,26 Tage). 30–45° vs. &lt;30°: RR 0,48 (hohe Sicherheit). Höhere Positionen erhöhten Druckgeschwüre; Sterblichkeit unterschied sich nicht.</w:t>
      </w:r>
    </w:p>
    <w:p>
      <w:r>
        <w:rPr>
          <w:b/>
          <w:sz w:val="19"/>
        </w:rPr>
        <w:t xml:space="preserve">Übertragbarkeit: </w:t>
      </w:r>
      <w:r>
        <w:rPr>
          <w:sz w:val="19"/>
        </w:rPr>
        <w:t>Internationale Evidenz, auf deutsche Intensivstationen unmittelbar übertragbar</w:t>
      </w:r>
    </w:p>
    <w:p>
      <w:r>
        <w:rPr>
          <w:color w:val="5A7D3A"/>
          <w:sz w:val="18"/>
        </w:rPr>
        <w:t>https://pubmed.ncbi.nlm.nih.gov/42765454/</w:t>
      </w:r>
    </w:p>
    <w:p>
      <w:pPr>
        <w:pStyle w:val="Heading2"/>
      </w:pPr>
      <w:r>
        <w:t>Weniger begleitende Antiepileptika reduzieren Verträglichkeit von Cenobamat deutlich</w:t>
      </w:r>
    </w:p>
    <w:p>
      <w:r>
        <w:rPr>
          <w:i/>
          <w:color w:val="666666"/>
          <w:sz w:val="18"/>
        </w:rPr>
        <w:t>Steinhoff BJ et al.  ·  Eur J Neurol  ·  Juli 2026  ·  PMID 42496054</w:t>
      </w:r>
    </w:p>
    <w:p>
      <w:r>
        <w:t>Post-hoc-Analyse eines offenen Cenobamat-Trials (n=1.340) mit fokalen Anfällen zur Quantifizierung von Häufigkeit, Schweregrad und Auflösungszeit unerwünschter Ereignisse unter verschiedenen Konkomitanzregimen.</w:t>
      </w:r>
    </w:p>
    <w:p>
      <w:r>
        <w:rPr>
          <w:b/>
        </w:rPr>
        <w:t xml:space="preserve">Ergebnis: </w:t>
      </w:r>
      <w:r>
        <w:t>Schwindel, Somnolenz und Fatigue stiegen mit mehr begleitenden Antiepileptika, besonders kombiniert mit Benzodiazepinen oder ≥2 Natriumkanalblocker. Mediane Auflösungszeit häufiger Ereignisse war kürzer bei weniger Begleitmedikation. Schwere Ereignisse nahmen mit mehr Konkomitanzmedikation zu (außer Kopfschmerz).</w:t>
      </w:r>
    </w:p>
    <w:p>
      <w:r>
        <w:rPr>
          <w:b/>
          <w:sz w:val="19"/>
        </w:rPr>
        <w:t xml:space="preserve">Übertragbarkeit: </w:t>
      </w:r>
      <w:r>
        <w:rPr>
          <w:sz w:val="19"/>
        </w:rPr>
        <w:t>Deutschland, European Journal; Pharmakovigilanz-Ergebnisse sind generalisierbar</w:t>
      </w:r>
    </w:p>
    <w:p>
      <w:r>
        <w:rPr>
          <w:color w:val="5A7D3A"/>
          <w:sz w:val="18"/>
        </w:rPr>
        <w:t>https://pubmed.ncbi.nlm.nih.gov/42496054/</w:t>
      </w:r>
    </w:p>
    <w:p>
      <w:pPr>
        <w:pStyle w:val="Heading1"/>
      </w:pPr>
      <w:r>
        <w:t>Aufgenommen am 21.09.2026</w:t>
      </w:r>
    </w:p>
    <w:p>
      <w:pPr>
        <w:pStyle w:val="Heading2"/>
      </w:pPr>
      <w:r>
        <w:t>Ärzte wünschen sich bessere REMS-Kommunikation und EMR-Integration</w:t>
      </w:r>
    </w:p>
    <w:p>
      <w:r>
        <w:rPr>
          <w:i/>
          <w:color w:val="666666"/>
          <w:sz w:val="18"/>
        </w:rPr>
        <w:t>Zakoul H et al.  ·  Pharmacoepidemiol Drug Saf  ·  Okt. 2026  ·  PMID 42764159</w:t>
      </w:r>
    </w:p>
    <w:p>
      <w:r>
        <w:t>Qualitative Studie mit 50 Ärzten, die Risk Evaluation and Mitigation Strategy (REMS)-Programme für 7 Hochrisikomedikamente anwendeten: semi-strukturierte Interviews zu Verständnis, Nutzen und Kommunikationspräferenzen.</w:t>
      </w:r>
    </w:p>
    <w:p>
      <w:r>
        <w:rPr>
          <w:b/>
        </w:rPr>
        <w:t xml:space="preserve">Ergebnis: </w:t>
      </w:r>
      <w:r>
        <w:t>Ärzte verstanden REMS-Risiken, wünschten sich aber Informationen zu nicht abgedeckten Nebenwirkungen. Manche berichteten Lücken in Enrollmentformularen; viele wünschten EMR-Integration. Bevorzugte Lernform: kurze elektronische Materialien (E-Mails, Videos) statt Papier, mit Benefit-Risk-Zusammenfassungen und Links zu Studien. Materialien sollten zeitnah aktualisiert werden.</w:t>
      </w:r>
    </w:p>
    <w:p>
      <w:r>
        <w:rPr>
          <w:b/>
          <w:sz w:val="19"/>
        </w:rPr>
        <w:t xml:space="preserve">Übertragbarkeit: </w:t>
      </w:r>
      <w:r>
        <w:rPr>
          <w:sz w:val="19"/>
        </w:rPr>
        <w:t>USA - Melde- und Haftungsrecht unterscheiden sich; Sicherheitsbefund zum Informationsbedarf übertragbar</w:t>
      </w:r>
    </w:p>
    <w:p>
      <w:r>
        <w:rPr>
          <w:color w:val="5A7D3A"/>
          <w:sz w:val="18"/>
        </w:rPr>
        <w:t>https://pubmed.ncbi.nlm.nih.gov/42764159/</w:t>
      </w:r>
    </w:p>
    <w:p>
      <w:pPr>
        <w:pStyle w:val="Heading2"/>
      </w:pPr>
      <w:r>
        <w:t>Lokale Hautdesinfektion vor Hüftfrakturchirurgie senkte Wundinfektionen nicht</w:t>
      </w:r>
    </w:p>
    <w:p>
      <w:r>
        <w:rPr>
          <w:i/>
          <w:color w:val="666666"/>
          <w:sz w:val="18"/>
        </w:rPr>
        <w:t>Sterner EM et al.  ·  Int Wound J  ·  Sept. 2026  ·  PMID 42764157</w:t>
      </w:r>
    </w:p>
    <w:p>
      <w:r>
        <w:t>Vergleich von Ganzkörper- vs. lokaler Hautdesinfektion mit Chlorhexidinglucconat vor Hüftfrakturop: 844 Patienten, 90 Tage Nachverfolgung.</w:t>
      </w:r>
    </w:p>
    <w:p>
      <w:r>
        <w:rPr>
          <w:b/>
        </w:rPr>
        <w:t xml:space="preserve">Ergebnis: </w:t>
      </w:r>
      <w:r>
        <w:t>Wundinfektionsrate 1,7%, ohne signifikanten Unterschied zwischen Ganzkörper (1,9%) und lokalen Wipes (1,0%, p&gt;0,05). Chronische Nierenerkrankung war signifikant mit lokalen Infektionen assoziiert (p=0,005). Lokale Hautdesinfektion zeigte vergleichbare Effektivität wie Ganzkörperbehandlung.</w:t>
      </w:r>
    </w:p>
    <w:p>
      <w:r>
        <w:rPr>
          <w:b/>
          <w:sz w:val="19"/>
        </w:rPr>
        <w:t xml:space="preserve">Übertragbarkeit: </w:t>
      </w:r>
      <w:r>
        <w:rPr>
          <w:sz w:val="19"/>
        </w:rPr>
        <w:t>Schweden, vergleichbare Operationsstandards und Infektionsprävention</w:t>
      </w:r>
    </w:p>
    <w:p>
      <w:r>
        <w:rPr>
          <w:color w:val="5A7D3A"/>
          <w:sz w:val="18"/>
        </w:rPr>
        <w:t>https://pubmed.ncbi.nlm.nih.gov/42764157/</w:t>
      </w:r>
    </w:p>
    <w:p>
      <w:pPr>
        <w:pStyle w:val="Heading2"/>
      </w:pPr>
      <w:r>
        <w:t>Nosokomiale Kinderseppen tödlicher als ambulant erworben: Irland 2020-2025</w:t>
      </w:r>
    </w:p>
    <w:p>
      <w:r>
        <w:rPr>
          <w:i/>
          <w:color w:val="666666"/>
          <w:sz w:val="18"/>
        </w:rPr>
        <w:t>Ravichandran N et al.  ·  Eur J Pediatr  ·  19.09.2026  ·  PMID 42763313</w:t>
      </w:r>
    </w:p>
    <w:p>
      <w:r>
        <w:t>Retrospektive Observationsstudie aller kindlichen Sepsisaufnahmen (n=4442) in Irland mit Vergleich nosokomial vs. ambulant erworben und Analyse von Komorbiditäten.</w:t>
      </w:r>
    </w:p>
    <w:p>
      <w:r>
        <w:rPr>
          <w:b/>
        </w:rPr>
        <w:t xml:space="preserve">Ergebnis: </w:t>
      </w:r>
      <w:r>
        <w:t>30,7% nosokomiale, 69,3% ambulant erworbene Sepsis. Nosokomiale Sepsis mit höherer Intensivbetreuung (84,0% vs. 32,3%, p&lt;0,001) und Mortalität (7,6% vs. 1,8%, p&lt;0,001). Komorbiditäten unabhängig assoziiert mit ICU-Aufnahme (adjustiertes OR 2,66–4,88) und Mortalität (OR 7,18), aber schwere Erkrankung auch ohne dokumentierte Komorbiditäten.</w:t>
      </w:r>
    </w:p>
    <w:p>
      <w:r>
        <w:rPr>
          <w:b/>
          <w:sz w:val="19"/>
        </w:rPr>
        <w:t xml:space="preserve">Übertragbarkeit: </w:t>
      </w:r>
      <w:r>
        <w:rPr>
          <w:sz w:val="19"/>
        </w:rPr>
        <w:t>Irland, vergleichbare britische und europäische Kindermedizin</w:t>
      </w:r>
    </w:p>
    <w:p>
      <w:r>
        <w:rPr>
          <w:color w:val="5A7D3A"/>
          <w:sz w:val="18"/>
        </w:rPr>
        <w:t>https://pubmed.ncbi.nlm.nih.gov/42763313/</w:t>
      </w:r>
    </w:p>
    <w:p>
      <w:pPr>
        <w:pStyle w:val="Heading2"/>
      </w:pPr>
      <w:r>
        <w:t>Dendritische Zellen in Sepsis: Depletion, Dysfunktion und fehlende validierte Therapieziele</w:t>
      </w:r>
    </w:p>
    <w:p>
      <w:r>
        <w:rPr>
          <w:i/>
          <w:color w:val="666666"/>
          <w:sz w:val="18"/>
        </w:rPr>
        <w:t>Xu X et al.  ·  Front Immunol  ·  03.09.2026  ·  PMID 42756155</w:t>
      </w:r>
    </w:p>
    <w:p>
      <w:r>
        <w:t>Systematische narrative Übersichtsarbeit zur Rolle dendritischer Zellen in der Sepsisimmunodysregulation, mit kritischer Bewertung von Humanstudien und Tiermodellen zu Mechanismen und therapeutischen Ansätzen.</w:t>
      </w:r>
    </w:p>
    <w:p>
      <w:r>
        <w:rPr>
          <w:b/>
        </w:rPr>
        <w:t xml:space="preserve">Ergebnis: </w:t>
      </w:r>
      <w:r>
        <w:t>Humane Blutdaten zeigen verringerte Anzahl dendritischer Zellen, veränderten Phänotyp und beeinträchtigte Reaktivität. Tierexperimente demonstrieren Depletionen in Milz, Knochemark und Geweben. Vier mögliche Beiträge: Depletion, Dysfunktion, Umverteilung, beeinträchtigte Regeneration. Keine validierten dendritischen-Zellen-Endotypen, Triggerpunkte, Biomarker oder Therapien. Blutbefunde nicht äquivalent zu Tierverstümmellungen. MregDC-Programm: explorativ ohne validiertes menschliches Äquivalent.</w:t>
      </w:r>
    </w:p>
    <w:p>
      <w:r>
        <w:rPr>
          <w:b/>
          <w:sz w:val="19"/>
        </w:rPr>
        <w:t xml:space="preserve">Übertragbarkeit: </w:t>
      </w:r>
      <w:r>
        <w:rPr>
          <w:sz w:val="19"/>
        </w:rPr>
        <w:t>Europäische und kanadische Literatur; konzeptionelle Übersicht ohne operative Messung</w:t>
      </w:r>
    </w:p>
    <w:p>
      <w:r>
        <w:rPr>
          <w:color w:val="5A7D3A"/>
          <w:sz w:val="18"/>
        </w:rPr>
        <w:t>https://pubmed.ncbi.nlm.nih.gov/42756155/</w:t>
      </w:r>
    </w:p>
    <w:p>
      <w:pPr>
        <w:pStyle w:val="Heading2"/>
      </w:pPr>
      <w:r>
        <w:t>Sepsisinduzierte Immunsuppression: Mechanismen und offene Fragen zur Therapie</w:t>
      </w:r>
    </w:p>
    <w:p>
      <w:r>
        <w:rPr>
          <w:i/>
          <w:color w:val="666666"/>
          <w:sz w:val="18"/>
        </w:rPr>
        <w:t>Couwenbergh T et al.  ·  Crit Care Clin  ·  17.06.2026  ·  PMID 42686302</w:t>
      </w:r>
    </w:p>
    <w:p>
      <w:r>
        <w:t>Narrative Übersichtsarbeit zur pathophysiologischen Rolle der Immunsuppression in der Sepsis und zur bisherigen Evidenz für immunmodulierende Therapien (Zytokine, Checkpoint-Inhibitoren, Stammzellen).</w:t>
      </w:r>
    </w:p>
    <w:p>
      <w:r>
        <w:rPr>
          <w:b/>
        </w:rPr>
        <w:t xml:space="preserve">Ergebnis: </w:t>
      </w:r>
      <w:r>
        <w:t>Hauptmechanismen: Funktionsumprograammierung von Myeloidzellen, Lymphozytenverlust, besonders CD4+ und CD8+ T-Zellen. Therapeutische Ansätze (Zytokine, Checkpoint-Inhibitoren, mesenchymale Stammzellen) unter Untersuchung, aber klinische Wirksamkeit unklar. Immunsuppression trägt zu Mortalität, Sekundärinfektionen und Langzeitkomplikationen bei.</w:t>
      </w:r>
    </w:p>
    <w:p>
      <w:r>
        <w:rPr>
          <w:b/>
          <w:sz w:val="19"/>
        </w:rPr>
        <w:t xml:space="preserve">Übertragbarkeit: </w:t>
      </w:r>
      <w:r>
        <w:rPr>
          <w:sz w:val="19"/>
        </w:rPr>
        <w:t>Niederlande, europäische Intensivmedizin; konzeptionelle Übersicht ohne Messung einer Intervention</w:t>
      </w:r>
    </w:p>
    <w:p>
      <w:r>
        <w:rPr>
          <w:color w:val="5A7D3A"/>
          <w:sz w:val="18"/>
        </w:rPr>
        <w:t>https://pubmed.ncbi.nlm.nih.gov/42686302/</w:t>
      </w:r>
    </w:p>
    <w:p>
      <w:pPr>
        <w:pStyle w:val="Heading1"/>
      </w:pPr>
      <w:r>
        <w:t>Aufgenommen am 20.09.2026</w:t>
      </w:r>
    </w:p>
    <w:p>
      <w:pPr>
        <w:pStyle w:val="Heading2"/>
      </w:pPr>
      <w:r>
        <w:t>Selbstbetreuung und Antibiotikaresistenz: Empfehlungen für nationale Programme und Selbstversorger</w:t>
      </w:r>
    </w:p>
    <w:p>
      <w:r>
        <w:rPr>
          <w:i/>
          <w:color w:val="666666"/>
          <w:sz w:val="18"/>
        </w:rPr>
        <w:t>Kiggundu R et al.  ·  Front Public Health  ·  03.09.2026  ·  PMID 42755611</w:t>
      </w:r>
    </w:p>
    <w:p>
      <w:r>
        <w:t>Narrative Übersichtsarbeit untersucht fünf Kernstrategien der Selbstbetreuung zur Eindämmung der Antibiotikaresistenz: Aufklärung, Schnelltests, gelenkte Selbstbehandlung, digitale Selbstüberwachung und strukturiertes Selbstmanagement.</w:t>
      </w:r>
    </w:p>
    <w:p>
      <w:r>
        <w:rPr>
          <w:b/>
        </w:rPr>
        <w:t xml:space="preserve">Ergebnis: </w:t>
      </w:r>
      <w:r>
        <w:t>Selbstbetreuungsstrategien ermöglichen frühe Infektionserkennung, fördern angemessene Antibiotikaanwendung und entlasten Gesundheitssysteme. Implementierung gehindert durch begrenzte Zugang zu zuverlässiger AMR-Information, Missdiagnose-Risiken, Datenschutzbedenken und Verhaltenschwierigkeiten. Policymaker sollten Richtlinienintegration, standardisierte Vorgaben, Regulation und Infrastrukturentwicklung priorisieren.</w:t>
      </w:r>
    </w:p>
    <w:p>
      <w:r>
        <w:rPr>
          <w:b/>
          <w:sz w:val="19"/>
        </w:rPr>
        <w:t xml:space="preserve">Übertragbarkeit: </w:t>
      </w:r>
      <w:r>
        <w:rPr>
          <w:sz w:val="19"/>
        </w:rPr>
        <w:t>Leitfaden für LMIC-Kontexte; Übertragbarkeit auf deutsche Strukturen gering</w:t>
      </w:r>
    </w:p>
    <w:p>
      <w:r>
        <w:rPr>
          <w:color w:val="5A7D3A"/>
          <w:sz w:val="18"/>
        </w:rPr>
        <w:t>https://pubmed.ncbi.nlm.nih.gov/42755611/</w:t>
      </w:r>
    </w:p>
    <w:p>
      <w:pPr>
        <w:pStyle w:val="Heading2"/>
      </w:pPr>
      <w:r>
        <w:t>Strukturierter Patientensicherheitskurs erhöht Wissen und systemisches Denken bei ärztlichen Jungfachkräften um signifikante Anteile</w:t>
      </w:r>
    </w:p>
    <w:p>
      <w:r>
        <w:rPr>
          <w:i/>
          <w:color w:val="666666"/>
          <w:sz w:val="18"/>
        </w:rPr>
        <w:t>Qureshi MFH et al.  ·  BMC Med Educ  ·  22.07.2026  ·  PMID 42754882</w:t>
      </w:r>
    </w:p>
    <w:p>
      <w:r>
        <w:t>Quasiexperimentelle Studie untersucht Effektivität eines Qualitäts- und Patientensicherheitsmoduls bei 166 postgraduierten ärztlichen Interns an einem tertären Krankenhaus in Pakistan.</w:t>
      </w:r>
    </w:p>
    <w:p>
      <w:r>
        <w:rPr>
          <w:b/>
        </w:rPr>
        <w:t xml:space="preserve">Ergebnis: </w:t>
      </w:r>
      <w:r>
        <w:t>Signifikante Verbesserungen nach Intervention: Testwissensscores, systemisches Denken und Wissenswirksamkeit verbesserten sich über alle Kohorten (p &lt; 0,001). Verbesserungen besonders ausgeprägt bei Interns ohne vorherige Sicherheitsschulung. Qualitative Reflexionen zeigten verbesserte Zuversicht, Teamarbeit und systemorientierte Perspektiven. Strukturierte Kurse sind wirksam, auch ohne Vorkenntnisse.</w:t>
      </w:r>
    </w:p>
    <w:p>
      <w:r>
        <w:rPr>
          <w:b/>
          <w:sz w:val="19"/>
        </w:rPr>
        <w:t xml:space="preserve">Übertragbarkeit: </w:t>
      </w:r>
      <w:r>
        <w:rPr>
          <w:sz w:val="19"/>
        </w:rPr>
        <w:t>Pakistan (LMIC), Modell adaptierbar auf deutsche ärztliche Ausbildung</w:t>
      </w:r>
    </w:p>
    <w:p>
      <w:r>
        <w:rPr>
          <w:color w:val="5A7D3A"/>
          <w:sz w:val="18"/>
        </w:rPr>
        <w:t>https://pubmed.ncbi.nlm.nih.gov/42754882/</w:t>
      </w:r>
    </w:p>
    <w:p>
      <w:pPr>
        <w:pStyle w:val="Heading2"/>
      </w:pPr>
      <w:r>
        <w:t>Antibiofilm-beschichtete Verriegelungsnägel senken Fraktionsinfektion auf 5,8 % bei risikoreichen Knochenbrüchen</w:t>
      </w:r>
    </w:p>
    <w:p>
      <w:r>
        <w:rPr>
          <w:i/>
          <w:color w:val="666666"/>
          <w:sz w:val="18"/>
        </w:rPr>
        <w:t>Vicenti G et al.  ·  J Orthop Traumatol  ·  16.09.2026  ·  PMID 42752738</w:t>
      </w:r>
    </w:p>
    <w:p>
      <w:r>
        <w:t>Observationsstudie untersucht klinische Wirksamkeit einer antibakteriell beschichteten Verriegelungsnagel bei hochrisiko-tibialen und femoralen Frakturen an 103 Patienten.</w:t>
      </w:r>
    </w:p>
    <w:p>
      <w:r>
        <w:rPr>
          <w:b/>
        </w:rPr>
        <w:t xml:space="preserve">Ergebnis: </w:t>
      </w:r>
      <w:r>
        <w:t>Fraktionsinfektion trat in 5,8 % der Fälle auf (6/103 Patienten: 7,3 % tibial, 4,2 % femoral). Alle Infektionen wurden ohne Sepsis oder Amputation erfolgreich behandelt. Knochenbruchverkeilung in 94,5 % tibial und 95,8 % femoral erreicht. Die Beschichtung könnte ein vielversprechender Ansatz sein, erfordert aber prospektive kontrollierte Studien zur Bestätigung.</w:t>
      </w:r>
    </w:p>
    <w:p>
      <w:r>
        <w:rPr>
          <w:b/>
          <w:sz w:val="19"/>
        </w:rPr>
        <w:t xml:space="preserve">Übertragbarkeit: </w:t>
      </w:r>
      <w:r>
        <w:rPr>
          <w:sz w:val="19"/>
        </w:rPr>
        <w:t>Deutschland und deutschsprachiger Raum, vergleichbare Traumatologiestudards</w:t>
      </w:r>
    </w:p>
    <w:p>
      <w:r>
        <w:rPr>
          <w:color w:val="5A7D3A"/>
          <w:sz w:val="18"/>
        </w:rPr>
        <w:t>https://pubmed.ncbi.nlm.nih.gov/42752738/</w:t>
      </w:r>
    </w:p>
    <w:p>
      <w:pPr>
        <w:pStyle w:val="Heading2"/>
      </w:pPr>
      <w:r>
        <w:t>Deterministische und stochastische Interventionen bei Medikamenteninteraktionen: Systemische Grenzen und Hybrid-Ansätze nötig</w:t>
      </w:r>
    </w:p>
    <w:p>
      <w:r>
        <w:rPr>
          <w:i/>
          <w:color w:val="666666"/>
          <w:sz w:val="18"/>
        </w:rPr>
        <w:t>Ahmad Zuber MF et al.  ·  PLoS One  ·  17.09.2026  ·  PMID 42752658</w:t>
      </w:r>
    </w:p>
    <w:p>
      <w:r>
        <w:t>Systematische Übersichtsarbeit evaluiert computergestützte oder klinische Entscheidungsunterstützungs-Interventionen zur Reduktion von Arzneimittelwechselwirkungen oder unangemessener Verschreibung gemäß PRISMA 2020-Richtlinien.</w:t>
      </w:r>
    </w:p>
    <w:p>
      <w:r>
        <w:rPr>
          <w:b/>
        </w:rPr>
        <w:t xml:space="preserve">Ergebnis: </w:t>
      </w:r>
      <w:r>
        <w:t>Zehn Studien eingeschlossen. Frühe deterministische Systeme zeigten bescheidene Verbesserungen bei Verschreibungsprozessen, aber inkonsistente Links zu Patientenergebnissen. Neuere stochastische/generative Modelle berichten starke interne Performance-Metriken, aber hohes Bias-Risiko bei der Validierung, unzureichende externe Validierung, mangelnde Overfitting-Kontrolle. Deterministische Systeme bieten Transparenz, aber keine Anpassung an Patientenkontexte. Hybrid-Architekturen mit validierten stochastischen und erklärbar regelgestützten Komponenten sind erforderlich.</w:t>
      </w:r>
    </w:p>
    <w:p>
      <w:r>
        <w:rPr>
          <w:b/>
          <w:sz w:val="19"/>
        </w:rPr>
        <w:t xml:space="preserve">Übertragbarkeit: </w:t>
      </w:r>
      <w:r>
        <w:rPr>
          <w:sz w:val="19"/>
        </w:rPr>
        <w:t>Internationale Übersicht, Designprinzipien auf Deutschland anwendbar</w:t>
      </w:r>
    </w:p>
    <w:p>
      <w:r>
        <w:rPr>
          <w:color w:val="5A7D3A"/>
          <w:sz w:val="18"/>
        </w:rPr>
        <w:t>https://pubmed.ncbi.nlm.nih.gov/42752658/</w:t>
      </w:r>
    </w:p>
    <w:p>
      <w:pPr>
        <w:pStyle w:val="Heading2"/>
      </w:pPr>
      <w:r>
        <w:t>Intelligentes Katheter-Warnsystem reduziert ungeplante Extubation um 41 bis 48 Prozent</w:t>
      </w:r>
    </w:p>
    <w:p>
      <w:r>
        <w:rPr>
          <w:i/>
          <w:color w:val="666666"/>
          <w:sz w:val="18"/>
        </w:rPr>
        <w:t>Lu Y et al.  ·  Health Informatics J  ·  17.09.2026  ·  PMID 42752222</w:t>
      </w:r>
    </w:p>
    <w:p>
      <w:r>
        <w:t>Vorher-nachher-Studie in tertärem Krankenhaus evaluiert intelligentes Katheter-Risikowarn-System mit integrierter Pflege, Wartungsübersicht und QR-Patienten-Aufklärung bei 205 Pflegekräften und Patienten mit Katheter.</w:t>
      </w:r>
    </w:p>
    <w:p>
      <w:r>
        <w:rPr>
          <w:b/>
        </w:rPr>
        <w:t xml:space="preserve">Ergebnis: </w:t>
      </w:r>
      <w:r>
        <w:t>Ungeplante Nasenmagen-Schlauch-Entfernung sank von 0,852 ‰ auf 0,501 ‰ (-41 %). Ungeplante Blasenkatheter-Entfernung sank von 0,219 ‰ auf 0,114 ‰ (-48 %). PSSUQ-Scores und Pflegezufriedenheit verbesserten sich signifikant (p &lt; 0,001). Beschriftungsfehler reduzierten sich. System verbessert dokumentierbar Patientensicherheit bei Katheterpflege.</w:t>
      </w:r>
    </w:p>
    <w:p>
      <w:r>
        <w:rPr>
          <w:b/>
          <w:sz w:val="19"/>
        </w:rPr>
        <w:t xml:space="preserve">Übertragbarkeit: </w:t>
      </w:r>
      <w:r>
        <w:rPr>
          <w:sz w:val="19"/>
        </w:rPr>
        <w:t>China, technisches System; Prinzip auf deutsche Kliniken übertragbar</w:t>
      </w:r>
    </w:p>
    <w:p>
      <w:r>
        <w:rPr>
          <w:color w:val="5A7D3A"/>
          <w:sz w:val="18"/>
        </w:rPr>
        <w:t>https://pubmed.ncbi.nlm.nih.gov/42752222/</w:t>
      </w:r>
    </w:p>
    <w:p>
      <w:pPr>
        <w:pStyle w:val="Heading2"/>
      </w:pPr>
      <w:r>
        <w:t>Nosokomiale Infektionen nach Gesichtsverletzungen im Kriegseinsatz: 40,9 % Rate bei 2.631 ukrainischen Patienten</w:t>
      </w:r>
    </w:p>
    <w:p>
      <w:r>
        <w:rPr>
          <w:i/>
          <w:color w:val="666666"/>
          <w:sz w:val="18"/>
        </w:rPr>
        <w:t>Salmanov AG et al.  ·  Wiad Lek  ·  2026  ·  PMID 42748302</w:t>
      </w:r>
    </w:p>
    <w:p>
      <w:r>
        <w:t>Multizentrische prospektive Beobachtungsstudie untersucht nosokomiale Infektionen nach kiefer-oralchirurgischen Verfahren bei Patienten mit kampfbezogenen Kopf- und Halsverletzungen 2022–2025 in der Ukraine.</w:t>
      </w:r>
    </w:p>
    <w:p>
      <w:r>
        <w:rPr>
          <w:b/>
        </w:rPr>
        <w:t xml:space="preserve">Ergebnis: </w:t>
      </w:r>
      <w:r>
        <w:t>Unter 2.631 Patienten entwickelten 40,9 % (1.075) nosokomiale Infektionen. Häufigste Typ: chirurgische Infektionen 54 %, Knochen-Gelenk-Infektionen 14,2 %, Pneumonie 12,2 %, Harnwegsinfektionen 8,6 %, Sepsis 6,6 %. Risikofaktoren: Intensivaufenthalt, Intubation, Katheter. Hohes Infektionsaufkommen unter Bedingungen extremer Verletzungsschwere zeigt Grenzen der Infektionsprävention auf.</w:t>
      </w:r>
    </w:p>
    <w:p>
      <w:r>
        <w:rPr>
          <w:b/>
          <w:sz w:val="19"/>
        </w:rPr>
        <w:t xml:space="preserve">Übertragbarkeit: </w:t>
      </w:r>
      <w:r>
        <w:rPr>
          <w:sz w:val="19"/>
        </w:rPr>
        <w:t>Osteuropa unter Kriegsbedingungen, begrenzte Übertragbarkeit auf Standards</w:t>
      </w:r>
    </w:p>
    <w:p>
      <w:r>
        <w:rPr>
          <w:color w:val="5A7D3A"/>
          <w:sz w:val="18"/>
        </w:rPr>
        <w:t>https://pubmed.ncbi.nlm.nih.gov/42748302/</w:t>
      </w:r>
    </w:p>
    <w:p>
      <w:pPr>
        <w:pStyle w:val="Heading1"/>
      </w:pPr>
      <w:r>
        <w:t>Aufgenommen am 19.09.2026</w:t>
      </w:r>
    </w:p>
    <w:p>
      <w:pPr>
        <w:pStyle w:val="Heading2"/>
      </w:pPr>
      <w:r>
        <w:t>ADRe-Profil senkte Medikationsprobleme bei älteren Patienten um 82%</w:t>
      </w:r>
    </w:p>
    <w:p>
      <w:r>
        <w:rPr>
          <w:i/>
          <w:color w:val="666666"/>
          <w:sz w:val="18"/>
        </w:rPr>
        <w:t>Logan V et al.  ·  PLoS One  ·  18.09.2026  ·  PMID 42758689</w:t>
      </w:r>
    </w:p>
    <w:p>
      <w:r>
        <w:t>Cluster-randomisierte Studie zur Frage, ob ein Adverse Drug Reaction Profile bei Patienten ≥65 Jahren mit über 4 Dauermedikationen in der Hausarztpraxis unerwünschte Arzneimittelwirkungen und Polypharmzie-Probleme reduziert.</w:t>
      </w:r>
    </w:p>
    <w:p>
      <w:r>
        <w:rPr>
          <w:b/>
        </w:rPr>
        <w:t xml:space="preserve">Ergebnis: </w:t>
      </w:r>
      <w:r>
        <w:t>82% der Interventionsgruppe (22/27 Patienten) hatten mindestens ein bearbeitetes Problem vs. 35% der Kontrollgruppe (11/30), adjustierte Odds Ratio 7,48 (95%-KI 1,99–28,10). B12-Mangel und Flecainide-Demedikation wurden kritisch erkannt; weniger Schmerzberichte in der Interventionsgruppe.</w:t>
      </w:r>
    </w:p>
    <w:p>
      <w:r>
        <w:rPr>
          <w:b/>
          <w:sz w:val="19"/>
        </w:rPr>
        <w:t xml:space="preserve">Übertragbarkeit: </w:t>
      </w:r>
      <w:r>
        <w:rPr>
          <w:sz w:val="19"/>
        </w:rPr>
        <w:t>Großbritannien/Wales, vergleichbare primärärztliche Dokumentation und Polypharmzie-Problematik</w:t>
      </w:r>
    </w:p>
    <w:p>
      <w:r>
        <w:rPr>
          <w:color w:val="5A7D3A"/>
          <w:sz w:val="18"/>
        </w:rPr>
        <w:t>https://pubmed.ncbi.nlm.nih.gov/42758689/</w:t>
      </w:r>
    </w:p>
    <w:p>
      <w:pPr>
        <w:pStyle w:val="Heading2"/>
      </w:pPr>
      <w:r>
        <w:t>Sieben unabhängige Risikofaktoren für Druckgeschwüre nach Hüftfrakturchirurgie</w:t>
      </w:r>
    </w:p>
    <w:p>
      <w:r>
        <w:rPr>
          <w:i/>
          <w:color w:val="666666"/>
          <w:sz w:val="18"/>
        </w:rPr>
        <w:t>Zhao Y et al.  ·  J Wound Ostomy Continence Nurs  ·  Sept. 2026  ·  PMID 42758160</w:t>
      </w:r>
    </w:p>
    <w:p>
      <w:r>
        <w:t>US-amerikanische Beobachtungsstudie mit 14.523 Hüftfrakturpatienten (2019) aus der NSQIP-Datenbank zur Identifizierung unabhängiger Risikofaktoren für nosokomiale Druckgeschwüre nach operativer Versorgung.</w:t>
      </w:r>
    </w:p>
    <w:p>
      <w:r>
        <w:rPr>
          <w:b/>
        </w:rPr>
        <w:t xml:space="preserve">Ergebnis: </w:t>
      </w:r>
      <w:r>
        <w:t>4,3% entwickelten mindestens ein Druckgeschwür (628/14.523). Unabhängige Risikofaktoren: Alter &gt;70 Jahre (OR 1,488), BMI &lt;18,5 kg/m² (OR 1,347), Gewichtsverlust &gt;10% in 6 Monaten (OR 2,775), Mobilitätshilfe präoperativ (OR 1,833), Insulinabhängigkeit (OR 1,753), BUN &gt;24 mg/dL (OR 1,634), Aufnahme-zu-OP-Intervall &gt;1 Tag (OR 1,400).</w:t>
      </w:r>
    </w:p>
    <w:p>
      <w:r>
        <w:rPr>
          <w:b/>
          <w:sz w:val="19"/>
        </w:rPr>
        <w:t xml:space="preserve">Übertragbarkeit: </w:t>
      </w:r>
      <w:r>
        <w:rPr>
          <w:sz w:val="19"/>
        </w:rPr>
        <w:t>USA, aber Risikofaktor-Profil und NSQIP-Methodik in deutschen Kliniken anwendbar</w:t>
      </w:r>
    </w:p>
    <w:p>
      <w:r>
        <w:rPr>
          <w:color w:val="5A7D3A"/>
          <w:sz w:val="18"/>
        </w:rPr>
        <w:t>https://pubmed.ncbi.nlm.nih.gov/42758160/</w:t>
      </w:r>
    </w:p>
    <w:p>
      <w:pPr>
        <w:pStyle w:val="Heading2"/>
      </w:pPr>
      <w:r>
        <w:t>Tuberkulose-Infektionskontroll-Plan: 70% Compliance aber massive Governance-Lücken</w:t>
      </w:r>
    </w:p>
    <w:p>
      <w:r>
        <w:rPr>
          <w:i/>
          <w:color w:val="666666"/>
          <w:sz w:val="18"/>
        </w:rPr>
        <w:t>Espinosa M et al.  ·  Biomedica  ·  20.08.2026  ·  PMID 42757801</w:t>
      </w:r>
    </w:p>
    <w:p>
      <w:r>
        <w:t>Evaluative Studie mit Mixed-Methods in Cali, Kolumbien zur Bewertung der institutionellen Kapazitäten eines seit 2016 implementierten Tuberkulose-Infektionskontroll-Plans in Gesundheitseinrichtungen mit TB-Programmen.</w:t>
      </w:r>
    </w:p>
    <w:p>
      <w:r>
        <w:rPr>
          <w:b/>
        </w:rPr>
        <w:t xml:space="preserve">Ergebnis: </w:t>
      </w:r>
      <w:r>
        <w:t>Durchschnittliches Compliance: 70,8% administrative Maßnahmen, 62,1% Umweltkon trolle, 90,5% Atemschutz. Mängel: fehlender nationaler Rahmen, hohe Personalfluktuation, unzureichende Schulung, Investitionslücken, mangelnde Überwachung arbeitsbezogener TB. Stärken: Erfassung symptomatischer Atemwegspatienten, Verfügbarkeit von Schutzausrüstung.</w:t>
      </w:r>
    </w:p>
    <w:p>
      <w:r>
        <w:rPr>
          <w:b/>
          <w:sz w:val="19"/>
        </w:rPr>
        <w:t xml:space="preserve">Übertragbarkeit: </w:t>
      </w:r>
      <w:r>
        <w:rPr>
          <w:sz w:val="19"/>
        </w:rPr>
        <w:t>Kolumbien, aber Struktur-Gap-Analyse für Infektionskontroll-Programme übertragbar auf Schwellenländer</w:t>
      </w:r>
    </w:p>
    <w:p>
      <w:r>
        <w:rPr>
          <w:color w:val="5A7D3A"/>
          <w:sz w:val="18"/>
        </w:rPr>
        <w:t>https://pubmed.ncbi.nlm.nih.gov/42757801/</w:t>
      </w:r>
    </w:p>
    <w:p>
      <w:pPr>
        <w:pStyle w:val="Heading2"/>
      </w:pPr>
      <w:r>
        <w:t>Stromausfälle durch Treibstoffmangel: Kaskadierende Patientensicherheits-Ausfälle in Konflikt-Szenarios</w:t>
      </w:r>
    </w:p>
    <w:p>
      <w:r>
        <w:rPr>
          <w:i/>
          <w:color w:val="666666"/>
          <w:sz w:val="18"/>
        </w:rPr>
        <w:t>Warrier AR et al.  ·  BMJ Open Qual  ·  17.09.2026  ·  PMID 42754290</w:t>
      </w:r>
    </w:p>
    <w:p>
      <w:r>
        <w:t>Proaktive Fehlermodalitäts- und Effektanalyse (FMEA) an 455-Bett-Klinik Südindien zur Modellierung von Patientensicherheitsrisiken bei akutem Treibstoff-/Flüssiggasausfall in geopolitischem Konflikt-Szenario.</w:t>
      </w:r>
    </w:p>
    <w:p>
      <w:r>
        <w:rPr>
          <w:b/>
        </w:rPr>
        <w:t xml:space="preserve">Ergebnis: </w:t>
      </w:r>
      <w:r>
        <w:t>62 Fehlerszenarien: 5 kritisch (RPNs ≥200), 17 hoch (150–199), 34 mittel (100–149), 6 niedrig (&lt;100). Generator/Stromversorgung Mittelwert RPN 171,0 = Systemamplifikator. Wäscherei (OP/ICU-Wäsche-Sterilisation): höchstes Einzelrisiko RPN 240. Küche LPG-abhängig: durchschnittlich 163,4.</w:t>
      </w:r>
    </w:p>
    <w:p>
      <w:r>
        <w:rPr>
          <w:b/>
          <w:sz w:val="19"/>
        </w:rPr>
        <w:t xml:space="preserve">Übertragbarkeit: </w:t>
      </w:r>
      <w:r>
        <w:rPr>
          <w:sz w:val="19"/>
        </w:rPr>
        <w:t>Indien, aber Kaskadenanalyse und Ausfallmuster sind für deutsche Krankenhäuser in Krisenszenarios anwendbar</w:t>
      </w:r>
    </w:p>
    <w:p>
      <w:r>
        <w:rPr>
          <w:color w:val="5A7D3A"/>
          <w:sz w:val="18"/>
        </w:rPr>
        <w:t>https://pubmed.ncbi.nlm.nih.gov/42754290/</w:t>
      </w:r>
    </w:p>
    <w:p>
      <w:pPr>
        <w:pStyle w:val="Heading2"/>
      </w:pPr>
      <w:r>
        <w:t>Mangelhaft vermitteltes Management-Support gefährdet psychologische Genesung nach Arbeitsverletzung</w:t>
      </w:r>
    </w:p>
    <w:p>
      <w:r>
        <w:rPr>
          <w:i/>
          <w:color w:val="666666"/>
          <w:sz w:val="18"/>
        </w:rPr>
        <w:t>Dawson A et al.  ·  J Safety Res  ·  26.05.2026  ·  PMID 42744463</w:t>
      </w:r>
    </w:p>
    <w:p>
      <w:r>
        <w:t>Zwei britische Querschnittsstudien mit Eisenbahnwerkstatt-Mitarbeitern (N₁=264, N₂=117), ob organisationale Sicherheitsunterstützung durch Vorgesetzte die psychische Belastung und emotionales Wohlbefinden nach beruflicher Verletzung moderiert.</w:t>
      </w:r>
    </w:p>
    <w:p>
      <w:r>
        <w:rPr>
          <w:b/>
        </w:rPr>
        <w:t xml:space="preserve">Ergebnis: </w:t>
      </w:r>
      <w:r>
        <w:t>Support von direkten Vorgesetzten und Kollegen moderierte nicht. Support des Top-Managements zeigte bei häufigeren Verletzungen kontraintuitiv: höhere wahrgenommene Unterstützung war mit niedrigerem positiven Affekt assoziiert – Effekt der Glaubwürdigkeitslücke zwischen symbolischer und gelebter Praxis.</w:t>
      </w:r>
    </w:p>
    <w:p>
      <w:r>
        <w:rPr>
          <w:b/>
          <w:sz w:val="19"/>
        </w:rPr>
        <w:t xml:space="preserve">Übertragbarkeit: </w:t>
      </w:r>
      <w:r>
        <w:rPr>
          <w:sz w:val="19"/>
        </w:rPr>
        <w:t>Großbritannien, Eisenbahn-Sicherheitskultur, aber Befund zu Vertrauensdefiziten ist systemübergreifend</w:t>
      </w:r>
    </w:p>
    <w:p>
      <w:r>
        <w:rPr>
          <w:color w:val="5A7D3A"/>
          <w:sz w:val="18"/>
        </w:rPr>
        <w:t>https://pubmed.ncbi.nlm.nih.gov/42744463/</w:t>
      </w:r>
    </w:p>
    <w:p>
      <w:pPr>
        <w:pStyle w:val="Heading2"/>
      </w:pPr>
      <w:r>
        <w:t>Verzögerte Entlassungsberichte zeigten keinen Sicherheitseffekt nach Pneumonie-Hospitalisierung</w:t>
      </w:r>
    </w:p>
    <w:p>
      <w:r>
        <w:rPr>
          <w:i/>
          <w:color w:val="666666"/>
          <w:sz w:val="18"/>
        </w:rPr>
        <w:t>Danjou A et al.  ·  Int J Qual Health Care  ·  08.07.2026  ·  PMID 42623130</w:t>
      </w:r>
    </w:p>
    <w:p>
      <w:r>
        <w:t>Französische Kohortenstudie zu 1004 Patienten nach Hospitalisierung wegen ambulant erworbener Lungenentzündung, ob das Fehlen einer am Entlasstag erstellten Entlassdokumentation die 30-Tage-Mortalität und Wiederaufnahmen erhöht.</w:t>
      </w:r>
    </w:p>
    <w:p>
      <w:r>
        <w:rPr>
          <w:b/>
        </w:rPr>
        <w:t xml:space="preserve">Ergebnis: </w:t>
      </w:r>
      <w:r>
        <w:t>Entlassdokumentation lag bei 30% am Entlasstag vor (305/1004). Nach Propensity-Score-Gewichtung: unerwünschte Ereignisse 12% vs. 14% (OR 1,12; 95%-KI 0,72–1,75), Wiederaufnahmen 9,6% vs. 10% (OR 1,09; 95%-KI 0,65–1,84), Mortalität 6,9% vs. 4,3% (OR 0,61; 95%-KI 0,31–1,21) – kein signifikanter Unterschied.</w:t>
      </w:r>
    </w:p>
    <w:p>
      <w:r>
        <w:rPr>
          <w:b/>
          <w:sz w:val="19"/>
        </w:rPr>
        <w:t xml:space="preserve">Übertragbarkeit: </w:t>
      </w:r>
      <w:r>
        <w:rPr>
          <w:sz w:val="19"/>
        </w:rPr>
        <w:t>Frankreich, nationales Gesundheitsdatensystem, ähnliche Entlassdokumentationspflichten</w:t>
      </w:r>
    </w:p>
    <w:p>
      <w:r>
        <w:rPr>
          <w:color w:val="5A7D3A"/>
          <w:sz w:val="18"/>
        </w:rPr>
        <w:t>https://pubmed.ncbi.nlm.nih.gov/42623130/</w:t>
      </w:r>
    </w:p>
    <w:p>
      <w:pPr>
        <w:pStyle w:val="Heading1"/>
      </w:pPr>
      <w:r>
        <w:t>Aufgenommen am 18.09.2026</w:t>
      </w:r>
    </w:p>
    <w:p>
      <w:pPr>
        <w:pStyle w:val="Heading2"/>
      </w:pPr>
      <w:r>
        <w:t>MedDRA-Standardisierung halbierte Sicherheitsmeldelücken in Operationsstudien</w:t>
      </w:r>
    </w:p>
    <w:p>
      <w:r>
        <w:rPr>
          <w:i/>
          <w:color w:val="666666"/>
          <w:sz w:val="18"/>
        </w:rPr>
        <w:t>Camasso NC et al.  ·  BMJ Open  ·  17.09.2026  ·  PMID 42754271</w:t>
      </w:r>
    </w:p>
    <w:p>
      <w:r>
        <w:t>Querschnittsanalyse untersuchte, ob standardisierte Nomenklatur (MedDRA) für Nebenwirkungen die Qualität der Sicherheitsberichterstattung in chirurgischen Randomisierungsstudien verbessert.</w:t>
      </w:r>
    </w:p>
    <w:p>
      <w:r>
        <w:rPr>
          <w:b/>
        </w:rPr>
        <w:t xml:space="preserve">Ergebnis: </w:t>
      </w:r>
      <w:r>
        <w:t>Nur 18,8% der 116 Studien nutzten MedDRA. Mit MedDRA: vollständigere Berichte (p&lt;0,001), Concordance Registry-Publication 60% vs. 82% Diskrepanz, Mortalitätsmeldungen 60% vs. 82% Diskordanz. Industriefinanzierung und US-Beteiligung erhöhten MedDRA-Adoption um Faktor 29 bzw. 4,6.</w:t>
      </w:r>
    </w:p>
    <w:p>
      <w:r>
        <w:rPr>
          <w:b/>
          <w:sz w:val="19"/>
        </w:rPr>
        <w:t xml:space="preserve">Übertragbarkeit: </w:t>
      </w:r>
      <w:r>
        <w:rPr>
          <w:sz w:val="19"/>
        </w:rPr>
        <w:t>Universelles Problem Chirurgieforschung, MedDRA auch in deutschsprachigen Kliniken einsetzbar.</w:t>
      </w:r>
    </w:p>
    <w:p>
      <w:r>
        <w:rPr>
          <w:color w:val="5A7D3A"/>
          <w:sz w:val="18"/>
        </w:rPr>
        <w:t>https://pubmed.ncbi.nlm.nih.gov/42754271/</w:t>
      </w:r>
    </w:p>
    <w:p>
      <w:pPr>
        <w:pStyle w:val="Heading2"/>
      </w:pPr>
      <w:r>
        <w:t>Pflegeleiter-Bundle senkte Pneumonierisiko bei septischen Bauchpatienten um 40 Prozent</w:t>
      </w:r>
    </w:p>
    <w:p>
      <w:r>
        <w:rPr>
          <w:i/>
          <w:color w:val="666666"/>
          <w:sz w:val="18"/>
        </w:rPr>
        <w:t>Xu Y et al.  ·  Crit Care  ·  14.09.2026  ·  PMID 42750044</w:t>
      </w:r>
    </w:p>
    <w:p>
      <w:r>
        <w:t>Studie untersuchte, ob ein Pflege-Behandlungsbündel für Atemwegsmanagement die Pneumonierate bei kritisch kranken Patienten mit Abdominalempyem senkt.</w:t>
      </w:r>
    </w:p>
    <w:p>
      <w:r>
        <w:rPr>
          <w:b/>
        </w:rPr>
        <w:t xml:space="preserve">Ergebnis: </w:t>
      </w:r>
      <w:r>
        <w:t>Das Bundle reduzierte Pneumonieinzidenz von 42,2% auf 25,6% (OR 0,39; 95%-KI 0,28–0,54; p&lt;0,001), Krankenhausaufenthalt um 20% und 28-Tage-Mortalität von 22,8% auf 18,3%. Fünf Sensitivitätsanalysen bestätigten Robustheit ohne Heterogenität zwischen Zentren.</w:t>
      </w:r>
    </w:p>
    <w:p>
      <w:r>
        <w:rPr>
          <w:b/>
          <w:sz w:val="19"/>
        </w:rPr>
        <w:t xml:space="preserve">Übertragbarkeit: </w:t>
      </w:r>
      <w:r>
        <w:rPr>
          <w:sz w:val="19"/>
        </w:rPr>
        <w:t>China, aber strukturierte Bundle-Ansätze auf Intensivstationen sind international etabliert.</w:t>
      </w:r>
    </w:p>
    <w:p>
      <w:r>
        <w:rPr>
          <w:color w:val="5A7D3A"/>
          <w:sz w:val="18"/>
        </w:rPr>
        <w:t>https://pubmed.ncbi.nlm.nih.gov/42750044/</w:t>
      </w:r>
    </w:p>
    <w:p>
      <w:pPr>
        <w:pStyle w:val="Heading2"/>
      </w:pPr>
      <w:r>
        <w:t>Pathogen-PCR-Diagnostik senkte unnötige Antibiotika und verbesserte Sepsis-Überleben</w:t>
      </w:r>
    </w:p>
    <w:p>
      <w:r>
        <w:rPr>
          <w:i/>
          <w:color w:val="666666"/>
          <w:sz w:val="18"/>
        </w:rPr>
        <w:t>Zhang H et al.  ·  Nat Commun  ·  20.08.2026  ·  PMID 42749736</w:t>
      </w:r>
    </w:p>
    <w:p>
      <w:r>
        <w:t>Randomisierte Studie testete, ob digitale PCR-Diagnostik die Antibiotikaanpassung bei Sepsis-Verdacht steuert und Sterblichkeit senkt.</w:t>
      </w:r>
    </w:p>
    <w:p>
      <w:r>
        <w:rPr>
          <w:b/>
        </w:rPr>
        <w:t xml:space="preserve">Ergebnis: </w:t>
      </w:r>
      <w:r>
        <w:t>ddPCR erhöhte korrekte Antibiotikaabdeckung von 6,1% auf 12,91% (p=0,0039), Tagesmelder schneller. Pathogenenlast &gt;3051 Kopien/ml (Tag 0), &gt;404 (Tag 3), &gt;1348 (Tag 7) vorhersagend für 28-Tage-Mortalität. Frühe genauigkeitsbasierte Therapieanpassung verbesserte Überleben signifikant.</w:t>
      </w:r>
    </w:p>
    <w:p>
      <w:r>
        <w:rPr>
          <w:b/>
          <w:sz w:val="19"/>
        </w:rPr>
        <w:t xml:space="preserve">Übertragbarkeit: </w:t>
      </w:r>
      <w:r>
        <w:rPr>
          <w:sz w:val="19"/>
        </w:rPr>
        <w:t>China-Daten, aber Diagnostik-Prinzip auf Sepsis-Erkennung universell übertragbar.</w:t>
      </w:r>
    </w:p>
    <w:p>
      <w:r>
        <w:rPr>
          <w:color w:val="5A7D3A"/>
          <w:sz w:val="18"/>
        </w:rPr>
        <w:t>https://pubmed.ncbi.nlm.nih.gov/42749736/</w:t>
      </w:r>
    </w:p>
    <w:p>
      <w:pPr>
        <w:pStyle w:val="Heading2"/>
      </w:pPr>
      <w:r>
        <w:t>Sicherheitsclutter-Taxonomie identifiziert verschleuerte Prozesse, die Schaden nicht mindern</w:t>
      </w:r>
    </w:p>
    <w:p>
      <w:r>
        <w:rPr>
          <w:i/>
          <w:color w:val="666666"/>
          <w:sz w:val="18"/>
        </w:rPr>
        <w:t>Raheemy Y et al.  ·  J Safety Res  ·  15.06.2026  ·  PMID 42744505</w:t>
      </w:r>
    </w:p>
    <w:p>
      <w:r>
        <w:t>Qualitative Studie mit Expertenfokusgruppen und 11 Jobsite-Ethnografien (Bauwesen) entwickelt eine Diagnose-Klassifikation für Sicherheitsmaßnahmen, die Zeit verschwenden.</w:t>
      </w:r>
    </w:p>
    <w:p>
      <w:r>
        <w:rPr>
          <w:b/>
        </w:rPr>
        <w:t xml:space="preserve">Ergebnis: </w:t>
      </w:r>
      <w:r>
        <w:t>Sicherheitsclutter definiert als Aufwand, der ohne Sicherheitsgewinn Ressourcen bindet: bedingte Clutter (exzessiv, irrelevant, unerreichbar) und reine Clutter (ungültig). 11 Clutter-Typen mit Erkennungszeichen und Fallbeispielen benannt, Triangulation Fokusgruppe-Ethnografie validiert Kategoriengrenzen.</w:t>
      </w:r>
    </w:p>
    <w:p>
      <w:r>
        <w:rPr>
          <w:b/>
          <w:sz w:val="19"/>
        </w:rPr>
        <w:t xml:space="preserve">Übertragbarkeit: </w:t>
      </w:r>
      <w:r>
        <w:rPr>
          <w:sz w:val="19"/>
        </w:rPr>
        <w:t>Bauwesen primär, Konzept auf Krankenhausprozesse (Fehlermeldesysteme, Dokumentation) übertragbar.</w:t>
      </w:r>
    </w:p>
    <w:p>
      <w:r>
        <w:rPr>
          <w:color w:val="5A7D3A"/>
          <w:sz w:val="18"/>
        </w:rPr>
        <w:t>https://pubmed.ncbi.nlm.nih.gov/42744505/</w:t>
      </w:r>
    </w:p>
    <w:p>
      <w:pPr>
        <w:pStyle w:val="Heading2"/>
      </w:pPr>
      <w:r>
        <w:t>Digitalisierung steigert Arbeitsschutzegoismus, wenn Mitsprache fehlt – Spanien und Dänemark</w:t>
      </w:r>
    </w:p>
    <w:p>
      <w:r>
        <w:rPr>
          <w:i/>
          <w:color w:val="666666"/>
          <w:sz w:val="18"/>
        </w:rPr>
        <w:t>Foncubierta-Rodríguez MJ  ·  J Safety Res  ·  17.08.2026  ·  PMID 42744499</w:t>
      </w:r>
    </w:p>
    <w:p>
      <w:r>
        <w:t>Querschnittswiederholung (ESENER 2019/2024) testet, ob Digitalisierung universell zum Reaktions- statt Präventivsicherheit führt und wie Mitarbeitermitsprache puffert.</w:t>
      </w:r>
    </w:p>
    <w:p>
      <w:r>
        <w:rPr>
          <w:b/>
        </w:rPr>
        <w:t xml:space="preserve">Ergebnis: </w:t>
      </w:r>
      <w:r>
        <w:t>Digitalisierung triggert überall Organisationsreaktivität; Arbeitermitsprache war 2019 inaktiv (nonsignifikant), 2024 aktiver Schutzfaktor gegen Reaktivität (β=0,547; p&lt;0,001). Traditionelle Industrie 2024 deutlich schlechter in Sicherheitsmanagement als Dienstleistung. Strukturelle Schichtung nach Sektor neu in post-pandemischer Ära.</w:t>
      </w:r>
    </w:p>
    <w:p>
      <w:r>
        <w:rPr>
          <w:b/>
          <w:sz w:val="19"/>
        </w:rPr>
        <w:t xml:space="preserve">Übertragbarkeit: </w:t>
      </w:r>
      <w:r>
        <w:rPr>
          <w:sz w:val="19"/>
        </w:rPr>
        <w:t>Spanien/Dänemark-Daten, EU-Risikomanagement-Rahmen, aber Befund zur Digitalisierungs-Reaktivität systemunabhängig.</w:t>
      </w:r>
    </w:p>
    <w:p>
      <w:r>
        <w:rPr>
          <w:color w:val="5A7D3A"/>
          <w:sz w:val="18"/>
        </w:rPr>
        <w:t>https://pubmed.ncbi.nlm.nih.gov/42744499/</w:t>
      </w:r>
    </w:p>
    <w:p>
      <w:pPr>
        <w:pStyle w:val="Heading2"/>
      </w:pPr>
      <w:r>
        <w:t>Multipack-Implantate kürzten OP-Zeit und Verpackungsabfall in Wirbelsäulenchirurgie</w:t>
      </w:r>
    </w:p>
    <w:p>
      <w:r>
        <w:rPr>
          <w:i/>
          <w:color w:val="666666"/>
          <w:sz w:val="18"/>
        </w:rPr>
        <w:t>Bludau F et al.  ·  Medicina (Kaunas)  ·  26.06.2026  ·  PMID 42512785</w:t>
      </w:r>
    </w:p>
    <w:p>
      <w:r>
        <w:t>HTA-Vergleichsstudie mit Messungen während acht Fusionen bewertete Einzelimplantat- gegen Multipack-Versorgung auf Workflow, Materialverbrauch und CO2-Bilanz.</w:t>
      </w:r>
    </w:p>
    <w:p>
      <w:r>
        <w:rPr>
          <w:b/>
        </w:rPr>
        <w:t xml:space="preserve">Ergebnis: </w:t>
      </w:r>
      <w:r>
        <w:t>Multipack senkte Griffzeit um 58% (25,4 s vs. 58,7 s; p=0,004), Steriltransferaufwand um Faktor 4,76, Verpackungsvolumen um Faktor 5,6, CO2-Äquivalent 0,017 kg vs. 0,026 kg. Personalzufriedenheit 73% positiv; Nachteil: möglicher Materialabfall ungenutzter Implantate.</w:t>
      </w:r>
    </w:p>
    <w:p>
      <w:r>
        <w:rPr>
          <w:b/>
          <w:sz w:val="19"/>
        </w:rPr>
        <w:t xml:space="preserve">Übertragbarkeit: </w:t>
      </w:r>
      <w:r>
        <w:rPr>
          <w:sz w:val="19"/>
        </w:rPr>
        <w:t>Deutschland: Universitätsklinikum Mannheim, vergleichbare Operationsumgebung und Dokumentationspflichten.</w:t>
      </w:r>
    </w:p>
    <w:p>
      <w:r>
        <w:rPr>
          <w:color w:val="5A7D3A"/>
          <w:sz w:val="18"/>
        </w:rPr>
        <w:t>https://pubmed.ncbi.nlm.nih.gov/42512785/</w:t>
      </w:r>
    </w:p>
    <w:p>
      <w:pPr>
        <w:pStyle w:val="Heading1"/>
      </w:pPr>
      <w:r>
        <w:t>Aufgenommen am 17.09.2026</w:t>
      </w:r>
    </w:p>
    <w:p>
      <w:pPr>
        <w:pStyle w:val="Heading2"/>
      </w:pPr>
      <w:r>
        <w:t>Nachhaltige Schutzausrüstung reduziert Carbon-Footprint ohne Infektionsrisiko</w:t>
      </w:r>
    </w:p>
    <w:p>
      <w:r>
        <w:rPr>
          <w:i/>
          <w:color w:val="666666"/>
          <w:sz w:val="18"/>
        </w:rPr>
        <w:t>Slyne H  ·  Br J Nurs  ·  17.09.2026  ·  PMID 42748025</w:t>
      </w:r>
    </w:p>
    <w:p>
      <w:r>
        <w:t>Übersichtsarbeit der Infection Prevention and Control Abteilung eines britischen Universitätskrankenhauses zu erfolgreichen Implementierungen nachhaltiger Persönlicher Schutzausrüstung (Handschuhe, Schürzen, Isolation Gowns, Masken).</w:t>
      </w:r>
    </w:p>
    <w:p>
      <w:r>
        <w:rPr>
          <w:b/>
        </w:rPr>
        <w:t xml:space="preserve">Ergebnis: </w:t>
      </w:r>
      <w:r>
        <w:t>Studienübersicht zeigt Kosteneinsparungen, CO₂-Reduktionen und verbesserte Mitarbeiter-Zufriedenheit sowie Hautgesundheit ohne nachteilige Auswirkungen auf nosokomiale Infektionen. Handschuh-Übernutzung identifiziert als größter Carbon-Hotspot im Gesundheitswesen.</w:t>
      </w:r>
    </w:p>
    <w:p>
      <w:r>
        <w:rPr>
          <w:b/>
          <w:sz w:val="19"/>
        </w:rPr>
        <w:t xml:space="preserve">Übertragbarkeit: </w:t>
      </w:r>
      <w:r>
        <w:rPr>
          <w:sz w:val="19"/>
        </w:rPr>
        <w:t>Vereinigtes Königreich, vergleichbare PPE-Standards und Dokumentationspflichten</w:t>
      </w:r>
    </w:p>
    <w:p>
      <w:r>
        <w:rPr>
          <w:color w:val="5A7D3A"/>
          <w:sz w:val="18"/>
        </w:rPr>
        <w:t>https://pubmed.ncbi.nlm.nih.gov/42748025/</w:t>
      </w:r>
    </w:p>
    <w:p>
      <w:pPr>
        <w:pStyle w:val="Heading2"/>
      </w:pPr>
      <w:r>
        <w:t>Perioperative Hypersensibilität im Kindesalter: Qualitative Analyse französischer Allergie-Kohorten</w:t>
      </w:r>
    </w:p>
    <w:p>
      <w:r>
        <w:rPr>
          <w:i/>
          <w:color w:val="666666"/>
          <w:sz w:val="18"/>
        </w:rPr>
        <w:t>Michel MP et al.  ·  Pediatr Allergy Immunol  ·  Sept. 2026  ·  PMID 42747994</w:t>
      </w:r>
    </w:p>
    <w:p>
      <w:r>
        <w:t>Analyse von 4.605 perioperativen Hypersensibilitätsreaktionen (461 Fälle bei Kindern &lt;18 Jahren) aus französischem GERAP-Netzwerk über drei Dekaden (1997–2024) mit Allergen-Identifikation und Schweregraduierung.</w:t>
      </w:r>
    </w:p>
    <w:p>
      <w:r>
        <w:rPr>
          <w:b/>
        </w:rPr>
        <w:t xml:space="preserve">Ergebnis: </w:t>
      </w:r>
      <w:r>
        <w:t>Kausales Allergen in 43% der Fälle identifiziert (Neuromuscular-Blocking-Agents 31%, Latex 30%, Antibiotika 16%). Reaktionen mit Allergen-ID waren signifikant schwerer (Grad 3–4: 46% vs. 13%; p &lt; 0,001) mit höherer Tryptase (Median 16,0 vs. 4,0 μg/L; p &lt; 0,001). Latex-Reaktionen verschwanden nach 2017.</w:t>
      </w:r>
    </w:p>
    <w:p>
      <w:r>
        <w:rPr>
          <w:b/>
          <w:sz w:val="19"/>
        </w:rPr>
        <w:t xml:space="preserve">Übertragbarkeit: </w:t>
      </w:r>
      <w:r>
        <w:rPr>
          <w:sz w:val="19"/>
        </w:rPr>
        <w:t>Frankreich, hochgradig vergleichbar; europäischer Standard für Allergie-Registrierung und Perioperativ-Management</w:t>
      </w:r>
    </w:p>
    <w:p>
      <w:r>
        <w:rPr>
          <w:color w:val="5A7D3A"/>
          <w:sz w:val="18"/>
        </w:rPr>
        <w:t>https://pubmed.ncbi.nlm.nih.gov/42747994/</w:t>
      </w:r>
    </w:p>
    <w:p>
      <w:pPr>
        <w:pStyle w:val="Heading2"/>
      </w:pPr>
      <w:r>
        <w:t>Cefazolin mindestens gleichwertig zu Flucloxacillin bei Staphylococcus-aureus-Bakteriämie</w:t>
      </w:r>
    </w:p>
    <w:p>
      <w:r>
        <w:rPr>
          <w:i/>
          <w:color w:val="666666"/>
          <w:sz w:val="18"/>
        </w:rPr>
        <w:t>Jager NGL et al.  ·  Ned Tijdschr Geneeskd  ·  16.09.2026  ·  PMID 42747445</w:t>
      </w:r>
    </w:p>
    <w:p>
      <w:r>
        <w:t>Die internationale adaptive Plattformstudie SNAP verglich Cefazolin mit (Flu-)Cloxacillin bei Erwachsenen mit Methicillin-empfindlicher S.-aureus-Bakteriämie.</w:t>
      </w:r>
    </w:p>
    <w:p>
      <w:r>
        <w:rPr>
          <w:b/>
        </w:rPr>
        <w:t xml:space="preserve">Ergebnis: </w:t>
      </w:r>
      <w:r>
        <w:t>90-Tage-Mortalität 15,0% mit Cefazolin versus 17,0% mit (Flu-)Cloxacillin (aOR 0,81; 95%-KrI 0,59–1,12; Nicht-Unterlegenheitswahrscheinlichkeit 99,2%). Akutes Nierenschädigungsrisiko war bei Cefazolin signifikant niedriger (13,9% vs. 19,6%; aOR 0,67; 95%-KrI 0,50–0,89).</w:t>
      </w:r>
    </w:p>
    <w:p>
      <w:r>
        <w:rPr>
          <w:b/>
          <w:sz w:val="19"/>
        </w:rPr>
        <w:t xml:space="preserve">Übertragbarkeit: </w:t>
      </w:r>
      <w:r>
        <w:rPr>
          <w:sz w:val="19"/>
        </w:rPr>
        <w:t>Niederlande, vergleichbares Sozialversicherungssystem und ärztliches Handeln</w:t>
      </w:r>
    </w:p>
    <w:p>
      <w:r>
        <w:rPr>
          <w:color w:val="5A7D3A"/>
          <w:sz w:val="18"/>
        </w:rPr>
        <w:t>https://pubmed.ncbi.nlm.nih.gov/42747445/</w:t>
      </w:r>
    </w:p>
    <w:p>
      <w:pPr>
        <w:pStyle w:val="Heading2"/>
      </w:pPr>
      <w:r>
        <w:t>Opioid-Allergien-Labeling bewirkt unnötige Ausgrenzung sicherer Analgetika</w:t>
      </w:r>
    </w:p>
    <w:p>
      <w:r>
        <w:rPr>
          <w:i/>
          <w:color w:val="666666"/>
          <w:sz w:val="18"/>
        </w:rPr>
        <w:t>Eiset AH et al.  ·  Basic Clin Pharmacol Toxicol  ·  Okt. 2026  ·  PMID 42746690</w:t>
      </w:r>
    </w:p>
    <w:p>
      <w:r>
        <w:t>Audit von 14.661 Opioid-Allergieregistrierungen in elektronischen Patientenakten von sechs dänischen Krankenhäusern (2020–2023) validierte Text-Mining-Algorithmen zur Unterscheidung wahrer Überempfindlichkeit von normalen Nebenwirkungen.</w:t>
      </w:r>
    </w:p>
    <w:p>
      <w:r>
        <w:rPr>
          <w:b/>
        </w:rPr>
        <w:t xml:space="preserve">Ergebnis: </w:t>
      </w:r>
      <w:r>
        <w:t>Nur 19% (n = 2.710) der Registrierungen entsprachen einer wahrscheinlichen Allergie, überwiegend Hautausschlag oder Pruritus (71%). 33% der Patienten mit registrierter Allergie erhielten später sicher das gleiche Opioid; das Label ist ein sehr schwacher Prädiktor für echte Hypersensibilität.</w:t>
      </w:r>
    </w:p>
    <w:p>
      <w:r>
        <w:rPr>
          <w:b/>
          <w:sz w:val="19"/>
        </w:rPr>
        <w:t xml:space="preserve">Übertragbarkeit: </w:t>
      </w:r>
      <w:r>
        <w:rPr>
          <w:sz w:val="19"/>
        </w:rPr>
        <w:t>Dänemark mit Fehlermeldesystem ohne Verschuldensnachweis – Übertragung auf Arzthaftungs-Systeme mit Beweislast limitiert</w:t>
      </w:r>
    </w:p>
    <w:p>
      <w:r>
        <w:rPr>
          <w:color w:val="5A7D3A"/>
          <w:sz w:val="18"/>
        </w:rPr>
        <w:t>https://pubmed.ncbi.nlm.nih.gov/42746690/</w:t>
      </w:r>
    </w:p>
    <w:p>
      <w:pPr>
        <w:pStyle w:val="Heading2"/>
      </w:pPr>
      <w:r>
        <w:t>Falsch dokumentierte Penicillin-Allergie erhöht Infektionsrisiko bei Leberzirrhose-Patienten</w:t>
      </w:r>
    </w:p>
    <w:p>
      <w:r>
        <w:rPr>
          <w:i/>
          <w:color w:val="666666"/>
          <w:sz w:val="18"/>
        </w:rPr>
        <w:t>Danpanichkul P et al.  ·  Alcohol Clin Exp Res (Hoboken)  ·  Sept. 2026  ·  PMID 42745200</w:t>
      </w:r>
    </w:p>
    <w:p>
      <w:r>
        <w:t>Kohortenstudie mit Propensity-Score-Matching (n = 2.388) untersuchte die Auswirkung dokumentierter Penicillin-Allergie-Labels auf Infektionsraten bei Patienten mit alkoholischer Leberzirrhose in den USA.</w:t>
      </w:r>
    </w:p>
    <w:p>
      <w:r>
        <w:rPr>
          <w:b/>
        </w:rPr>
        <w:t xml:space="preserve">Ergebnis: </w:t>
      </w:r>
      <w:r>
        <w:t>Penicillin-Allergie-Label assoziiert mit erhöhtem Sepsis-Risiko (11,4% vs. 6,4%; HR 1,53; 95%-KI 1,16–2,02), Pneumonie (8,7% vs. 5,0%; HR 1,49), Harnwegsinfekt (11,7% vs. 6,6%; HR 1,55) und Alkoholhepatitis (19,0% vs. 13,5%; HR 1,27).</w:t>
      </w:r>
    </w:p>
    <w:p>
      <w:r>
        <w:rPr>
          <w:b/>
          <w:sz w:val="19"/>
        </w:rPr>
        <w:t xml:space="preserve">Übertragbarkeit: </w:t>
      </w:r>
      <w:r>
        <w:rPr>
          <w:sz w:val="19"/>
        </w:rPr>
        <w:t>USA-Daten, begrenzte Übertragbarkeit auf deutsche Dokumentations- und Haftungspraxis</w:t>
      </w:r>
    </w:p>
    <w:p>
      <w:r>
        <w:rPr>
          <w:color w:val="5A7D3A"/>
          <w:sz w:val="18"/>
        </w:rPr>
        <w:t>https://pubmed.ncbi.nlm.nih.gov/42745200/</w:t>
      </w:r>
    </w:p>
    <w:p>
      <w:pPr>
        <w:pStyle w:val="Heading2"/>
      </w:pPr>
      <w:r>
        <w:t>Hohe Sepsis-Inzidenz bei alkoholbedingter Zirrhose: 30%-Mortalität in erster Hospitalisierung</w:t>
      </w:r>
    </w:p>
    <w:p>
      <w:r>
        <w:rPr>
          <w:i/>
          <w:color w:val="666666"/>
          <w:sz w:val="18"/>
        </w:rPr>
        <w:t>Stenderup CJ et al.  ·  Liver Int  ·  Okt. 2026  ·  PMID 42741819</w:t>
      </w:r>
    </w:p>
    <w:p>
      <w:r>
        <w:t>Dänische populationsbasierte Studie aller Patienten mit alkoholbedingter Zirrhose (n = 2.511, 2013–2022) quantifizierte Sepsis- und Bakteriämie-Inzidenz und prognostische Faktoren.</w:t>
      </w:r>
    </w:p>
    <w:p>
      <w:r>
        <w:rPr>
          <w:b/>
        </w:rPr>
        <w:t xml:space="preserve">Ergebnis: </w:t>
      </w:r>
      <w:r>
        <w:t>Kumulative 3-Jahres-Inzidenz ernst gemeinter Systeminfektionen 5,9% (95%-KI 5,0–6,9). MELD-NA-Score war unabhängiger Prädiktor (sHR 1,05 pro Punkt; 95%-KI 1,02–1,08). 30-Tage-Mortalität nach Hospitalisierung mit Infektion: 30% (95%-KI 23–37). Enterobacterales 38%, Staphylokokken 25%, Streptokokken 22% der Isolate.</w:t>
      </w:r>
    </w:p>
    <w:p>
      <w:r>
        <w:rPr>
          <w:b/>
          <w:sz w:val="19"/>
        </w:rPr>
        <w:t xml:space="preserve">Übertragbarkeit: </w:t>
      </w:r>
      <w:r>
        <w:rPr>
          <w:sz w:val="19"/>
        </w:rPr>
        <w:t>Dänemark mit skandinavischem Melde- und Entschädigungssystem – Fallzahlen nicht mit deutschem vergleichbar</w:t>
      </w:r>
    </w:p>
    <w:p>
      <w:r>
        <w:rPr>
          <w:color w:val="5A7D3A"/>
          <w:sz w:val="18"/>
        </w:rPr>
        <w:t>https://pubmed.ncbi.nlm.nih.gov/42741819/</w:t>
      </w:r>
    </w:p>
    <w:p>
      <w:pPr>
        <w:pStyle w:val="Heading1"/>
      </w:pPr>
      <w:r>
        <w:t>Aufgenommen am 16.09.2026</w:t>
      </w:r>
    </w:p>
    <w:p>
      <w:pPr>
        <w:pStyle w:val="Heading2"/>
      </w:pPr>
      <w:r>
        <w:t>Infektionsprävention im Kreißsaal: Motivation schlägt Ressourcenmangel</w:t>
      </w:r>
    </w:p>
    <w:p>
      <w:r>
        <w:rPr>
          <w:i/>
          <w:color w:val="666666"/>
          <w:sz w:val="18"/>
        </w:rPr>
        <w:t>Riches JM et al.  ·  BMJ Glob Health  ·  15.09.2026  ·  PMID 42744564</w:t>
      </w:r>
    </w:p>
    <w:p>
      <w:r>
        <w:t>Mixed-Methods-Studie in drei Kreißsälen in Malawi identifizierte Barrieren und Förderfaktoren für Infektionsprävention vor Kaiserschnitt, um eine Verhaltensintervention zu entwickeln.</w:t>
      </w:r>
    </w:p>
    <w:p>
      <w:r>
        <w:rPr>
          <w:b/>
        </w:rPr>
        <w:t xml:space="preserve">Ergebnis: </w:t>
      </w:r>
      <w:r>
        <w:t>Beobachtung zeigte erhebliche Lücken in Händehygiene, aseptischer Technik und sterilem Arbeiten. Ressourcenmangel wirkte direkt und indirekt als Barriere durch Auswirkung auf Motivation. "Passion" für Patienten, regelmäßige Supervision und "Reminders" waren Förderfaktoren. Indirekte Motivation spielte eine ebenso wichtige Rolle wie verfügbare Ressourcen.</w:t>
      </w:r>
    </w:p>
    <w:p>
      <w:r>
        <w:rPr>
          <w:b/>
          <w:sz w:val="19"/>
        </w:rPr>
        <w:t xml:space="preserve">Übertragbarkeit: </w:t>
      </w:r>
      <w:r>
        <w:rPr>
          <w:sz w:val="19"/>
        </w:rPr>
        <w:t>Malawi, Erkenntnisse für Implementierungsforschung zur Verhaltensänderung</w:t>
      </w:r>
    </w:p>
    <w:p>
      <w:r>
        <w:rPr>
          <w:color w:val="5A7D3A"/>
          <w:sz w:val="18"/>
        </w:rPr>
        <w:t>https://pubmed.ncbi.nlm.nih.gov/42744564/</w:t>
      </w:r>
    </w:p>
    <w:p>
      <w:pPr>
        <w:pStyle w:val="Heading2"/>
      </w:pPr>
      <w:r>
        <w:t>"Zweites Opfer" in Gesundheitsberufen: physische, mentale und berufliche Schäden</w:t>
      </w:r>
    </w:p>
    <w:p>
      <w:r>
        <w:rPr>
          <w:i/>
          <w:color w:val="666666"/>
          <w:sz w:val="18"/>
        </w:rPr>
        <w:t>Vianna Gonçalves da Costa ECDC et al.  ·  PLoS One  ·  15.09.2026  ·  PMID 42743379</w:t>
      </w:r>
    </w:p>
    <w:p>
      <w:r>
        <w:t>Scoping Review untersuchte psychische, physische, berufliche und soziale Folgen des "Zweiten-Opfer"-Phänomens (psychische Traumatisierung von Fachpersonen nach Behandlungsfehlern) in 37 Publikationen aus 2009-2024.</w:t>
      </w:r>
    </w:p>
    <w:p>
      <w:r>
        <w:rPr>
          <w:b/>
        </w:rPr>
        <w:t xml:space="preserve">Ergebnis: </w:t>
      </w:r>
      <w:r>
        <w:t>Überwiegend qualitative Studien (n=14), hospitales Umfeld (n=25), Pflege am meisten erforscht (n=27). 39 Auswirkungen wurden kartografiert: psychische Dimension identifizierte Suizidgedanken als Risiko. Berufliche Dimension mit höchster Anzahl von Folgen (Kündigungen, Karriereverlust). Studie belegt starke Beziehung zwischen Fehlertraumatisierung und Arbeiter-Sicherheit.</w:t>
      </w:r>
    </w:p>
    <w:p>
      <w:r>
        <w:rPr>
          <w:b/>
          <w:sz w:val="19"/>
        </w:rPr>
        <w:t xml:space="preserve">Übertragbarkeit: </w:t>
      </w:r>
      <w:r>
        <w:rPr>
          <w:sz w:val="19"/>
        </w:rPr>
        <w:t>Globale Evidenz aus 22 Ländern, Pflegefokus, Implementierung notwendig</w:t>
      </w:r>
    </w:p>
    <w:p>
      <w:r>
        <w:rPr>
          <w:color w:val="5A7D3A"/>
          <w:sz w:val="18"/>
        </w:rPr>
        <w:t>https://pubmed.ncbi.nlm.nih.gov/42743379/</w:t>
      </w:r>
    </w:p>
    <w:p>
      <w:pPr>
        <w:pStyle w:val="Heading2"/>
      </w:pPr>
      <w:r>
        <w:t>ESBL-Kolonisierungsdruck erhöht Infektionsrisiko auf Neugeborenen-Stationen</w:t>
      </w:r>
    </w:p>
    <w:p>
      <w:r>
        <w:rPr>
          <w:i/>
          <w:color w:val="666666"/>
          <w:sz w:val="18"/>
        </w:rPr>
        <w:t>Cook A et al.  ·  JAMA Netw Open  ·  01.09.2026  ·  PMID 42742944</w:t>
      </w:r>
    </w:p>
    <w:p>
      <w:r>
        <w:t>Multizenterstudie an 24 europäischen Neonatalstationen untersuchte, ob die Kolonisierungsdichte mit ESBL-tragenden Bakterien das Risiko für Neugeborene, selbst eine ESBL-Infektion zu entwickeln, beeinflusst.</w:t>
      </w:r>
    </w:p>
    <w:p>
      <w:r>
        <w:rPr>
          <w:b/>
        </w:rPr>
        <w:t xml:space="preserve">Ergebnis: </w:t>
      </w:r>
      <w:r>
        <w:t>Eine Zunahme der Kolonisierungsdruck um 10 % war mit erhöhter Übernahmequote assoziiert (OR 1,89 bei 4-Tage-Abstand, 95%-KI 1,22-2,94; OR 1,76 bei 7 Tagen, 95%-KI 1,26-2,63; OR 1,73 bei 14 Tagen, 95%-KI 1,15-2,52). Maßnahmen auf Stationsebene könnten direkte und indirekte Vorteile bringen.</w:t>
      </w:r>
    </w:p>
    <w:p>
      <w:r>
        <w:rPr>
          <w:b/>
          <w:sz w:val="19"/>
        </w:rPr>
        <w:t xml:space="preserve">Übertragbarkeit: </w:t>
      </w:r>
      <w:r>
        <w:rPr>
          <w:sz w:val="19"/>
        </w:rPr>
        <w:t>Acht europäische Länder, deutschsprachige Einrichtungen vergleichbar</w:t>
      </w:r>
    </w:p>
    <w:p>
      <w:r>
        <w:rPr>
          <w:color w:val="5A7D3A"/>
          <w:sz w:val="18"/>
        </w:rPr>
        <w:t>https://pubmed.ncbi.nlm.nih.gov/42742944/</w:t>
      </w:r>
    </w:p>
    <w:p>
      <w:pPr>
        <w:pStyle w:val="Heading2"/>
      </w:pPr>
      <w:r>
        <w:t>Psychische und kontextuelle Faktoren treiben Infektionsprävention mehr als Wissen</w:t>
      </w:r>
    </w:p>
    <w:p>
      <w:r>
        <w:rPr>
          <w:i/>
          <w:color w:val="666666"/>
          <w:sz w:val="18"/>
        </w:rPr>
        <w:t>Ventura F et al.  ·  Glob Health Action  ·  15.09.2026  ·  PMID 42742348</w:t>
      </w:r>
    </w:p>
    <w:p>
      <w:r>
        <w:t>Evaluierung des kulturell adaptierten InovSafeCare-Modells zur Infektionsprävention und -kontrolle bei 486 Pflegestudierenden in vier Instituten in Tansania und Madagaskar mit Fragebogen und Pfadanalyse.</w:t>
      </w:r>
    </w:p>
    <w:p>
      <w:r>
        <w:rPr>
          <w:b/>
        </w:rPr>
        <w:t xml:space="preserve">Ergebnis: </w:t>
      </w:r>
      <w:r>
        <w:t>10-Faktor-Lösung erklärt 52,1 % der Varianz (Cronbachs α: 0,64-0,88). Strukturmodell zeigt akzeptable Passung (CFI=0,88; RMSEA=0,097). Kein direkter Zusammenhang zwischen Bildung und Adhärenz, stattdessen vermittelter Effekt über Motivation, Erwartungen, Skepsis, Umweltkomplexität und Überlastung. Modell erklärt 18,9 % der Varianz in Adhärenz. Psychische und kontextuelle Mediatoren sind kritisch.</w:t>
      </w:r>
    </w:p>
    <w:p>
      <w:r>
        <w:rPr>
          <w:b/>
          <w:sz w:val="19"/>
        </w:rPr>
        <w:t xml:space="preserve">Übertragbarkeit: </w:t>
      </w:r>
      <w:r>
        <w:rPr>
          <w:sz w:val="19"/>
        </w:rPr>
        <w:t>Sub-Sahara-Afrika, valides Messinstrument für Implementierungsforschung</w:t>
      </w:r>
    </w:p>
    <w:p>
      <w:r>
        <w:rPr>
          <w:color w:val="5A7D3A"/>
          <w:sz w:val="18"/>
        </w:rPr>
        <w:t>https://pubmed.ncbi.nlm.nih.gov/42742348/</w:t>
      </w:r>
    </w:p>
    <w:p>
      <w:pPr>
        <w:pStyle w:val="Heading2"/>
      </w:pPr>
      <w:r>
        <w:t>Landiolol senkt Herzfrequenz bei Sepsis mit neuem Vorhofflimmern sicher</w:t>
      </w:r>
    </w:p>
    <w:p>
      <w:r>
        <w:rPr>
          <w:i/>
          <w:color w:val="666666"/>
          <w:sz w:val="18"/>
        </w:rPr>
        <w:t>Guarracino F et al.  ·  Crit Care  ·  07.08.2026  ·  PMID 42736570</w:t>
      </w:r>
    </w:p>
    <w:p>
      <w:r>
        <w:t>Europäischer Delphi-Konsens von neun Intensivmedizinern und Kardiologen untersuchte, wie man Vorhofflimmern bei septischem Schock mit Herzfrequenzkontrolle managen sollte, mit Fokus auf den ultraselektiven β₁-Blocker Landiolol.</w:t>
      </w:r>
    </w:p>
    <w:p>
      <w:r>
        <w:rPr>
          <w:b/>
        </w:rPr>
        <w:t xml:space="preserve">Ergebnis: </w:t>
      </w:r>
      <w:r>
        <w:t>70,9 % der 55 Aussagen erreichten Konsens (≥80 % Übereinstimmung). Landiolol wurde für HR-Kontrolle bei ausgewählten Sepsis-Patienten empfohlen: ohne Bolus starten, niedrig titrieren, Ziel &lt;110 bpm mit engem hämodynamischen Monitoring. Kein Konsens zu optimaler Dauer oder Einsatz bei schwerer Ventrikeldysfunktion.</w:t>
      </w:r>
    </w:p>
    <w:p>
      <w:r>
        <w:rPr>
          <w:b/>
          <w:sz w:val="19"/>
        </w:rPr>
        <w:t xml:space="preserve">Übertragbarkeit: </w:t>
      </w:r>
      <w:r>
        <w:rPr>
          <w:sz w:val="19"/>
        </w:rPr>
        <w:t>Deutschland, Österreich, Frankreich, europäisches Konsens-Verfahren</w:t>
      </w:r>
    </w:p>
    <w:p>
      <w:r>
        <w:rPr>
          <w:color w:val="5A7D3A"/>
          <w:sz w:val="18"/>
        </w:rPr>
        <w:t>https://pubmed.ncbi.nlm.nih.gov/42736570/</w:t>
      </w:r>
    </w:p>
    <w:p>
      <w:pPr>
        <w:pStyle w:val="Heading2"/>
      </w:pPr>
      <w:r>
        <w:t>Serum-Meprin α identifiziert SIRS-Patienten zuverlässiger als klassische Parameter</w:t>
      </w:r>
    </w:p>
    <w:p>
      <w:r>
        <w:rPr>
          <w:i/>
          <w:color w:val="666666"/>
          <w:sz w:val="18"/>
        </w:rPr>
        <w:t>Beckinger S et al.  ·  Mol Med  ·  18.07.2026  ·  PMID 42471588</w:t>
      </w:r>
    </w:p>
    <w:p>
      <w:r>
        <w:t>Studie mit Transgen-Mausmodell und Intensivpatienten untersuchte, ob das Metalloprotease Meprin α als Biomarker für systemische Entzündungsreaktion (SIRS) taugt.</w:t>
      </w:r>
    </w:p>
    <w:p>
      <w:r>
        <w:rPr>
          <w:b/>
        </w:rPr>
        <w:t xml:space="preserve">Ergebnis: </w:t>
      </w:r>
      <w:r>
        <w:t>K5Mα-Mäuse entwickelten tödliche SIRS mit Hypothermie, Gewichtsverlust, Anämie und Zytokinsturm. Serum-Meprin-α-Spiegel korrelierten mit Krankheitsverlauf. Hohe Meprin-α-Spiegel waren bei allen SIRS-Patienten (n=19) nachweisbar, aber bei keinem Non-SIRS-Patienten (n=29). Meprin α korrelierte mit C-reaktivem Protein, Procalcitonin und Leukozyten, erlaubte aber klare Unterscheidung von SIRS.</w:t>
      </w:r>
    </w:p>
    <w:p>
      <w:r>
        <w:rPr>
          <w:b/>
          <w:sz w:val="19"/>
        </w:rPr>
        <w:t xml:space="preserve">Übertragbarkeit: </w:t>
      </w:r>
      <w:r>
        <w:rPr>
          <w:sz w:val="19"/>
        </w:rPr>
        <w:t>Deutschland, kleine Kohorte, größere Multizenterstudie notwendig</w:t>
      </w:r>
    </w:p>
    <w:p>
      <w:r>
        <w:rPr>
          <w:color w:val="5A7D3A"/>
          <w:sz w:val="18"/>
        </w:rPr>
        <w:t>https://pubmed.ncbi.nlm.nih.gov/42471588/</w:t>
      </w:r>
    </w:p>
    <w:p>
      <w:pPr>
        <w:pStyle w:val="Heading1"/>
      </w:pPr>
      <w:r>
        <w:t>Aufgenommen am 15.09.2026</w:t>
      </w:r>
    </w:p>
    <w:p>
      <w:pPr>
        <w:pStyle w:val="Heading2"/>
      </w:pPr>
      <w:r>
        <w:t>Notfalldesinfektion von Einmalmedizinprodukten: Peressigsäure und Ethanol reduzierten Keime um über 90 %</w:t>
      </w:r>
    </w:p>
    <w:p>
      <w:r>
        <w:rPr>
          <w:i/>
          <w:color w:val="666666"/>
          <w:sz w:val="18"/>
        </w:rPr>
        <w:t>Chevalley K et al.  ·  Prehosp Disaster Med  ·  14.09.2026  ·  PMID 42734164</w:t>
      </w:r>
    </w:p>
    <w:p>
      <w:r>
        <w:t>Bei Versorgungsengpässen wurden klinisch genutzte Einmalmedizinprodukte (Tuben, Masken, Katheter) mit Peressigsäure, 70%-Ethanol oder Spülmittel gereinigt und dann auf Keimbelastung sowie funktionelle Integrität getestet.</w:t>
      </w:r>
    </w:p>
    <w:p>
      <w:r>
        <w:rPr>
          <w:b/>
        </w:rPr>
        <w:t xml:space="preserve">Ergebnis: </w:t>
      </w:r>
      <w:r>
        <w:t>Alle drei Mittel reduzierten die bakterielle Belastung statistisch signifikant (p&lt;0,05), ohne strukturelle Schäden zu verursachen. H. influenzae und S. aureus waren vor Reinigung in 47 % der Atemwegsgeräte nachweisbar, danach in keiner Probe. Methode ersetzt kein validiertes Sterilisationsverfahren, könnte aber Notfall-Letztresort sein.</w:t>
      </w:r>
    </w:p>
    <w:p>
      <w:r>
        <w:rPr>
          <w:b/>
          <w:sz w:val="19"/>
        </w:rPr>
        <w:t xml:space="preserve">Übertragbarkeit: </w:t>
      </w:r>
      <w:r>
        <w:rPr>
          <w:sz w:val="19"/>
        </w:rPr>
        <w:t>Schweden, mit Kriegsszenario relevante Szene; Methoden sind auch in Deutschland anwendbar, für Lagerhaltung im Krisenfall zu prüfen.</w:t>
      </w:r>
    </w:p>
    <w:p>
      <w:r>
        <w:rPr>
          <w:color w:val="5A7D3A"/>
          <w:sz w:val="18"/>
        </w:rPr>
        <w:t>https://pubmed.ncbi.nlm.nih.gov/42734164/</w:t>
      </w:r>
    </w:p>
    <w:p>
      <w:pPr>
        <w:pStyle w:val="Heading2"/>
      </w:pPr>
      <w:r>
        <w:t>Sicherheitspläne für psychiatrische Patienten: Zahl stieg, aber Qualität blieb niedrig (7,67 von 22 Punkten)</w:t>
      </w:r>
    </w:p>
    <w:p>
      <w:r>
        <w:rPr>
          <w:i/>
          <w:color w:val="666666"/>
          <w:sz w:val="18"/>
        </w:rPr>
        <w:t>Farmer E et al.  ·  Int J Ment Health Nurs  ·  Okt. 2026  ·  PMID 42725545</w:t>
      </w:r>
    </w:p>
    <w:p>
      <w:r>
        <w:t>Ein australisches Spital führte Schulung für strukturierte Sicherheitspläne bei entlassungsreifen psychiatrischen Patienten ein und untersuchte Implementierungsbefunde und Qualität.</w:t>
      </w:r>
    </w:p>
    <w:p>
      <w:r>
        <w:rPr>
          <w:b/>
        </w:rPr>
        <w:t xml:space="preserve">Ergebnis: </w:t>
      </w:r>
      <w:r>
        <w:t>Zahl der erstellten Pläne nahm zu. Durchschnittliche Qualität aber niedrig (7,67 Punkte auf 22-Punkte-Skala). Qualitative Befunde ergaben Barrieren: Zeitdruck, unzureichende Schulung, Procedural Drift. Fachkräfte und Patienten erwähnten Wert, aber fehlende Komponenten (Frühwarnzeichen, Bewältigungsmechanismen, externe Ressourcen, Mittelzugang).</w:t>
      </w:r>
    </w:p>
    <w:p>
      <w:r>
        <w:rPr>
          <w:b/>
          <w:sz w:val="19"/>
        </w:rPr>
        <w:t xml:space="preserve">Übertragbarkeit: </w:t>
      </w:r>
      <w:r>
        <w:rPr>
          <w:sz w:val="19"/>
        </w:rPr>
        <w:t>Australien, Struktur übertragbar; zeigt Implementierungs-Compliance-Problem: Prozess läuft, Qualität nicht.</w:t>
      </w:r>
    </w:p>
    <w:p>
      <w:r>
        <w:rPr>
          <w:color w:val="5A7D3A"/>
          <w:sz w:val="18"/>
        </w:rPr>
        <w:t>https://pubmed.ncbi.nlm.nih.gov/42725545/</w:t>
      </w:r>
    </w:p>
    <w:p>
      <w:pPr>
        <w:pStyle w:val="Heading2"/>
      </w:pPr>
      <w:r>
        <w:t>Hand- und Handybelastung von Klinikpersonal: Keimabstrichkulturen zeigen positive Assoziation, aber nur teilweise Übereinstimmung</w:t>
      </w:r>
    </w:p>
    <w:p>
      <w:r>
        <w:rPr>
          <w:i/>
          <w:color w:val="666666"/>
          <w:sz w:val="18"/>
        </w:rPr>
        <w:t>Jiang W et al.  ·  Front Cell Infect Microbiol  ·  26.08.2026  ·  PMID 42718797</w:t>
      </w:r>
    </w:p>
    <w:p>
      <w:r>
        <w:t>In einer chinesischen Klinik wurden an 126 Ärzte, Pfleger und Helfer gepaarte Handabstriche und Handyoberflächen-Kulturen genommen, um Kontamination und Übertragungspotential zu charakterisieren.</w:t>
      </w:r>
    </w:p>
    <w:p>
      <w:r>
        <w:rPr>
          <w:b/>
        </w:rPr>
        <w:t xml:space="preserve">Ergebnis: </w:t>
      </w:r>
      <w:r>
        <w:t>Mittlere Handbelastung 11,67 CFU/cm² (IQR 1,67–54,17), Handys 950 CFU (IQR 300–2575). Positive Spearman-Korrelation (rho=0,514, p&lt;0,001). Mediale Jaccard-Ähnlichkeit 0,50, durchschnittlich 1 gemeinsamer Keim pro Paar. Koagulase-negative Staphylokokken einzige signifikante diskordante Detektion.</w:t>
      </w:r>
    </w:p>
    <w:p>
      <w:r>
        <w:rPr>
          <w:b/>
          <w:sz w:val="19"/>
        </w:rPr>
        <w:t xml:space="preserve">Übertragbarkeit: </w:t>
      </w:r>
      <w:r>
        <w:rPr>
          <w:sz w:val="19"/>
        </w:rPr>
        <w:t>China, aber Handkeim-Epidemiologie universal; Hinweis: Hände und Handys sind nicht synchron kontaminiert – erfordert separate Hygienemaßnahmen.</w:t>
      </w:r>
    </w:p>
    <w:p>
      <w:r>
        <w:rPr>
          <w:color w:val="5A7D3A"/>
          <w:sz w:val="18"/>
        </w:rPr>
        <w:t>https://pubmed.ncbi.nlm.nih.gov/42718797/</w:t>
      </w:r>
    </w:p>
    <w:p>
      <w:pPr>
        <w:pStyle w:val="Heading2"/>
      </w:pPr>
      <w:r>
        <w:t>NHS-Fehlermeldesystem: Gesetzliche Haftungsregeln beeinflussen, was gemeldet wird und was daraus folgt</w:t>
      </w:r>
    </w:p>
    <w:p>
      <w:r>
        <w:rPr>
          <w:i/>
          <w:color w:val="666666"/>
          <w:sz w:val="18"/>
        </w:rPr>
        <w:t>Tingle J  ·  Br J Nurs  ·  06.08.2026  ·  PMID 42555592</w:t>
      </w:r>
    </w:p>
    <w:p>
      <w:r>
        <w:t>Britischer Rechtswissenschaftler analysiert aktuelle NHS-Resolution-Berichte zur Meldekultur und Entschädigungssystematik im englischen Gesundheitswesen.</w:t>
      </w:r>
    </w:p>
    <w:p>
      <w:r>
        <w:rPr>
          <w:b/>
        </w:rPr>
        <w:t xml:space="preserve">Ergebnis: </w:t>
      </w:r>
      <w:r>
        <w:t>Britisches System nutzt kein Schuldprinzip wie Deutschland (§ 630h BGB Umkehr), sondern klärt durch NHS Resolution (Haftung bei diagnostizierbarem Schaden). Meldezahlen daher nicht mit Deutschland vergleichbar. Unterschiede in Entschädigung (no-fault-Prinzipien England vs. Schuldnachweis Deutschland) bestimmen, welche Fehler gemeldet und entschädigt werden.</w:t>
      </w:r>
    </w:p>
    <w:p>
      <w:r>
        <w:rPr>
          <w:b/>
          <w:sz w:val="19"/>
        </w:rPr>
        <w:t xml:space="preserve">Übertragbarkeit: </w:t>
      </w:r>
      <w:r>
        <w:rPr>
          <w:sz w:val="19"/>
        </w:rPr>
        <w:t>Großbritannien/England – Haftungssystem (Entschädigung ohne Schuldnachweis) fundamental anders als Deutschland; Transfer-Vorsicht wegen Meldevergleichbarkeit.</w:t>
      </w:r>
    </w:p>
    <w:p>
      <w:r>
        <w:rPr>
          <w:color w:val="5A7D3A"/>
          <w:sz w:val="18"/>
        </w:rPr>
        <w:t>https://pubmed.ncbi.nlm.nih.gov/42555592/</w:t>
      </w:r>
    </w:p>
    <w:p>
      <w:pPr>
        <w:pStyle w:val="Heading2"/>
      </w:pPr>
      <w:r>
        <w:t>After Action Review verbesser­te Fehlerkultur in irischem Spital, nicht aber Sekundärtraumata von Mitarbeitern</w:t>
      </w:r>
    </w:p>
    <w:p>
      <w:r>
        <w:rPr>
          <w:i/>
          <w:color w:val="666666"/>
          <w:sz w:val="18"/>
        </w:rPr>
        <w:t>McCarthy SE et al.  ·  BMC Health Serv Res  ·  15.07.2026  ·  PMID 42458452</w:t>
      </w:r>
    </w:p>
    <w:p>
      <w:r>
        <w:t>Ein irisches Universitätsspital führte Simulation-basiertes Training in After Action Review (AAR) durch und untersuchte, ob dies die Patientensicherheitskultur (HSOPS 2.0) und das Wohlbefinden von Mitarbeitern (SVEST) nach 12 Monaten verbessert.</w:t>
      </w:r>
    </w:p>
    <w:p>
      <w:r>
        <w:rPr>
          <w:b/>
        </w:rPr>
        <w:t xml:space="preserve">Ergebnis: </w:t>
      </w:r>
      <w:r>
        <w:t>37 % des Personals kannte AAR, 10 % nahmen teil. 39 AAR-Sitzungen wurden durchgeführt (Kosten durchschnittlich 48 Euro). Gesamtsicherheitskultur stieg nicht an (33 % vs. 16 % Responserate, Fallzahl n=586). Aber: Reaktion auf Fehler verbesserte sich (mit AAR-Teilnahme assoziiert). Psychisches und physisches Wohlbefinden der Mitarbeiter verschlechterte sich, ebenso berufliche Selbstwirksamkeit.</w:t>
      </w:r>
    </w:p>
    <w:p>
      <w:r>
        <w:rPr>
          <w:b/>
          <w:sz w:val="19"/>
        </w:rPr>
        <w:t xml:space="preserve">Übertragbarkeit: </w:t>
      </w:r>
      <w:r>
        <w:rPr>
          <w:sz w:val="19"/>
        </w:rPr>
        <w:t>Irland, vergleichbare Meldekultur; AAR-Struktur ist deutsch übertragbar, Resultate aber ernüchternd.</w:t>
      </w:r>
    </w:p>
    <w:p>
      <w:r>
        <w:rPr>
          <w:color w:val="5A7D3A"/>
          <w:sz w:val="18"/>
        </w:rPr>
        <w:t>https://pubmed.ncbi.nlm.nih.gov/42458452/</w:t>
      </w:r>
    </w:p>
    <w:p>
      <w:pPr>
        <w:pStyle w:val="Heading2"/>
      </w:pPr>
      <w:r>
        <w:t>Öffentlichkeit überschätzte Antidepressiva-Wirkung um 11 Punkte (MADRS) und unterschätzte Nebenwirkungshäufigkeit</w:t>
      </w:r>
    </w:p>
    <w:p>
      <w:r>
        <w:rPr>
          <w:i/>
          <w:color w:val="666666"/>
          <w:sz w:val="18"/>
        </w:rPr>
        <w:t>Apel K et al.  ·  Sci Rep  ·  15.07.2026  ·  PMID 42457810</w:t>
      </w:r>
    </w:p>
    <w:p>
      <w:r>
        <w:t>Deutsche Querschnittsstudie (208 Personen mit und ohne Depressionserfahrung) mithilfe von Fallszenarien und normierten Bewertungs­skalen: Wie wirksam müssen Antidepressiva sein, um Nebenwirkungen zu tolerieren.</w:t>
      </w:r>
    </w:p>
    <w:p>
      <w:r>
        <w:rPr>
          <w:b/>
        </w:rPr>
        <w:t xml:space="preserve">Ergebnis: </w:t>
      </w:r>
      <w:r>
        <w:t>Antidepressiva-Wirkung wurde signifikant überschätzt (t(204)=8,96, p&lt;0,001, d=0,63, 11 MADRS-Punkte über echte Rate). Bei 13 von 15 abgefragten Nebenwirkungen wurden Häufigkeiten unterschätzt. Beispiel: Um Anfallsrisiko zu akzeptieren, forderten Befragte Symptomverbesserung um 23,51±8,82 MADRS-Punkte. Diskrepanz zwischen Erwartung und evidenzbasierter Information erheblich.</w:t>
      </w:r>
    </w:p>
    <w:p>
      <w:r>
        <w:rPr>
          <w:b/>
          <w:sz w:val="19"/>
        </w:rPr>
        <w:t xml:space="preserve">Übertragbarkeit: </w:t>
      </w:r>
      <w:r>
        <w:rPr>
          <w:sz w:val="19"/>
        </w:rPr>
        <w:t>Deutschland (Erlangen), direkt anwendbar; zeigt Beratungslücke: Patient-Arzt-Kommunikation muss Risiken explicit adressieren.</w:t>
      </w:r>
    </w:p>
    <w:p>
      <w:r>
        <w:rPr>
          <w:color w:val="5A7D3A"/>
          <w:sz w:val="18"/>
        </w:rPr>
        <w:t>https://pubmed.ncbi.nlm.nih.gov/42457810/</w:t>
      </w:r>
    </w:p>
    <w:p>
      <w:pPr>
        <w:pStyle w:val="Heading1"/>
      </w:pPr>
      <w:r>
        <w:t>Aufgenommen am 14.09.2026</w:t>
      </w:r>
    </w:p>
    <w:p>
      <w:pPr>
        <w:pStyle w:val="Heading2"/>
      </w:pPr>
      <w:r>
        <w:t>Digitale Risikovorhersage-Tools für Medikationsschaden: Klinikerperspektiven zu Adoptionsbarrieren</w:t>
      </w:r>
    </w:p>
    <w:p>
      <w:r>
        <w:rPr>
          <w:i/>
          <w:color w:val="666666"/>
          <w:sz w:val="18"/>
        </w:rPr>
        <w:t>Lam JYJ et al.  ·  J Eval Clin Pract  ·  Sept. 2026  ·  PMID 42732558</w:t>
      </w:r>
    </w:p>
    <w:p>
      <w:r>
        <w:t>Qualitative Studie mit 22 semi-strukturierten Interviews (6 Ärzte, 11 Apotheker, 5 Informatiker) an drei australischen Krankenhäusern: Barrieren und Enabler für die Implementierung digitaler Risikovorhersage-Tools (RPTs) zur Medikationssicherheit.</w:t>
      </w:r>
    </w:p>
    <w:p>
      <w:r>
        <w:rPr>
          <w:b/>
        </w:rPr>
        <w:t xml:space="preserve">Ergebnis: </w:t>
      </w:r>
      <w:r>
        <w:t>Fünf Themen identifiziert: Kliniker-Vertrauen, wahrgenommener Nutzen, organisationale Bereitschaft, Workflow-Integration, Zuverlässigkeit. Gewünschte Merkmale: Automatisierung, Feedback-Funktionalität, Workflow-Kompatibilität. Enablers: umfassendes Feedback, Ressourcentplanung. Barrieren: unzureichende Systemintegration, Tool-Zuverlässigkeitsunsicherheit. 85 % erkannten Wert für Medikationssicherheit.</w:t>
      </w:r>
    </w:p>
    <w:p>
      <w:r>
        <w:rPr>
          <w:b/>
          <w:sz w:val="19"/>
        </w:rPr>
        <w:t xml:space="preserve">Übertragbarkeit: </w:t>
      </w:r>
      <w:r>
        <w:rPr>
          <w:sz w:val="19"/>
        </w:rPr>
        <w:t>Australien, Sozialversicherungssystem unterschiedlich, Implementierungs-Ergebnisse gelten konzeptuell</w:t>
      </w:r>
    </w:p>
    <w:p>
      <w:r>
        <w:rPr>
          <w:color w:val="5A7D3A"/>
          <w:sz w:val="18"/>
        </w:rPr>
        <w:t>https://pubmed.ncbi.nlm.nih.gov/42732558/</w:t>
      </w:r>
    </w:p>
    <w:p>
      <w:pPr>
        <w:pStyle w:val="Heading2"/>
      </w:pPr>
      <w:r>
        <w:t>Frühe Erkennung und Behandlung von CAR-T- und VST-Zelltherapie-Komplikationen: Klinische Leitlinie</w:t>
      </w:r>
    </w:p>
    <w:p>
      <w:r>
        <w:rPr>
          <w:i/>
          <w:color w:val="666666"/>
          <w:sz w:val="18"/>
        </w:rPr>
        <w:t>Ussowicz M et al.  ·  Front Immunol  ·  28.08.2026  ·  PMID 42729916</w:t>
      </w:r>
    </w:p>
    <w:p>
      <w:r>
        <w:t>Narrative Übersicht mit aktualisierten Empfehlungen zur Erkennung und Behandlung früher Toxizitätsprofile nach CAR-T-Zelltherapie und virusspezifischen T-Lymphozyten, basierend auf validierten Grading-Kriterien.</w:t>
      </w:r>
    </w:p>
    <w:p>
      <w:r>
        <w:rPr>
          <w:b/>
        </w:rPr>
        <w:t xml:space="preserve">Ergebnis: </w:t>
      </w:r>
      <w:r>
        <w:t>CRS wird nach ASTCT-Kriterien klassifiziert, Tocilizumab ist Erst-Therapie. Steroid-refraktäre ICANS wird mit hochdosiertem intravenösem Anakinra (bis 12 mg/kg/Tag) behandelt – derzeit best-studied second-line-Option. ICAHT nutzt validiertes EHA/EBMT-Framework (früh Tag 0–30, spät &gt;Tag 30). Übersicht nennt konkrete Monitoreintervalle, ICU-Eskalationskriterien und differenziell-diagnostische Ansätze.</w:t>
      </w:r>
    </w:p>
    <w:p>
      <w:r>
        <w:rPr>
          <w:b/>
          <w:sz w:val="19"/>
        </w:rPr>
        <w:t xml:space="preserve">Übertragbarkeit: </w:t>
      </w:r>
      <w:r>
        <w:rPr>
          <w:sz w:val="19"/>
        </w:rPr>
        <w:t>Europäische und internationale Praxis; Empfehlungen sind versorgungssystemunabhängig</w:t>
      </w:r>
    </w:p>
    <w:p>
      <w:r>
        <w:rPr>
          <w:color w:val="5A7D3A"/>
          <w:sz w:val="18"/>
        </w:rPr>
        <w:t>https://pubmed.ncbi.nlm.nih.gov/42729916/</w:t>
      </w:r>
    </w:p>
    <w:p>
      <w:pPr>
        <w:pStyle w:val="Heading2"/>
      </w:pPr>
      <w:r>
        <w:t>Multidimensionales Nomogramm zur Stratifizierung des Blutinfektionsrisikos bei Hämatologischen Malignitäten</w:t>
      </w:r>
    </w:p>
    <w:p>
      <w:r>
        <w:rPr>
          <w:i/>
          <w:color w:val="666666"/>
          <w:sz w:val="18"/>
        </w:rPr>
        <w:t>Lan L et al.  ·  Front Cell Infect Microbiol  ·  27.08.2026  ·  PMID 42723754</w:t>
      </w:r>
    </w:p>
    <w:p>
      <w:r>
        <w:t>Retrospektive Kohortenstudie mit 3014 Patienten mit hämatologischen Malignitäten: Entwicklung eines Prognosemodells zur Vorhersage von Blutinfektionen und 90-Tage-Mortalität.</w:t>
      </w:r>
    </w:p>
    <w:p>
      <w:r>
        <w:rPr>
          <w:b/>
        </w:rPr>
        <w:t xml:space="preserve">Ergebnis: </w:t>
      </w:r>
      <w:r>
        <w:t>Das Modell für Blutinfektion erreichte AUC 0,775 (Ableitungskohorte) und 0,761 (Validierungskohorte); das Mortalitätsmodell C-Index von 0,721 bzw. 0,713. Neutrophilenzahl ≤0,5 × 10⁹/L erhielt höchste Punkt-Allokation. Polymikrobielle Infektionen zeigten höchste Gewichtung im Mortalitätsmodell. Beide Modelle zeigten akzeptable Kalibrierung.</w:t>
      </w:r>
    </w:p>
    <w:p>
      <w:r>
        <w:rPr>
          <w:b/>
          <w:sz w:val="19"/>
        </w:rPr>
        <w:t xml:space="preserve">Übertragbarkeit: </w:t>
      </w:r>
      <w:r>
        <w:rPr>
          <w:sz w:val="19"/>
        </w:rPr>
        <w:t>China, ähnliche Versorgungsstrukturen in Universitätskliniken; externe Validierung erforderlich</w:t>
      </w:r>
    </w:p>
    <w:p>
      <w:r>
        <w:rPr>
          <w:color w:val="5A7D3A"/>
          <w:sz w:val="18"/>
        </w:rPr>
        <w:t>https://pubmed.ncbi.nlm.nih.gov/42723754/</w:t>
      </w:r>
    </w:p>
    <w:p>
      <w:pPr>
        <w:pStyle w:val="Heading2"/>
      </w:pPr>
      <w:r>
        <w:t>Risikoadjustierung bei Medicare-Advantage mit Encounter-Daten: HCC-Modell-Rekalibrierung</w:t>
      </w:r>
    </w:p>
    <w:p>
      <w:r>
        <w:rPr>
          <w:i/>
          <w:color w:val="666666"/>
          <w:sz w:val="18"/>
        </w:rPr>
        <w:t>Carlin CS et al.  ·  Health Serv Res  ·  Okt. 2026  ·  PMID 42720268</w:t>
      </w:r>
    </w:p>
    <w:p>
      <w:r>
        <w:t>Vergleichende Analyse US-amerikanischer Claims: Replizierung des CMS Hierarchical Condition Category (HCC) Risikomodells mit Traditional Medicare (TM) und Medicare Advantage (MA) Daten 2016–2022; Test der Auswirkungen auf Zahlungsanpassungen.</w:t>
      </w:r>
    </w:p>
    <w:p>
      <w:r>
        <w:rPr>
          <w:b/>
        </w:rPr>
        <w:t xml:space="preserve">Ergebnis: </w:t>
      </w:r>
      <w:r>
        <w:t>MA-basierte HCC-Scores waren 8,9 % niedriger als TM-basierte (p &lt; 0,001). TM-Daten aus 2016–2022 führten zu 1,7 % niedrigeren durchschnittlichen Scores vs. CMS-Standard (2018–2019). Koeffizient-Trends bei steigenden Diagnose-Prävalenzen waren verdünnt. Unterschiede zwischen MA und TM variierten über die Score-Verteilung. Rassische/ethnische oder ländliche Unterschiede in Enrollmentinzentiven entstanden nicht.</w:t>
      </w:r>
    </w:p>
    <w:p>
      <w:r>
        <w:rPr>
          <w:b/>
          <w:sz w:val="19"/>
        </w:rPr>
        <w:t xml:space="preserve">Übertragbarkeit: </w:t>
      </w:r>
      <w:r>
        <w:rPr>
          <w:sz w:val="19"/>
        </w:rPr>
        <w:t>USA, nicht übertragbar; Finanzierungslogik grundlegend anders</w:t>
      </w:r>
    </w:p>
    <w:p>
      <w:r>
        <w:rPr>
          <w:color w:val="5A7D3A"/>
          <w:sz w:val="18"/>
        </w:rPr>
        <w:t>https://pubmed.ncbi.nlm.nih.gov/42720268/</w:t>
      </w:r>
    </w:p>
    <w:p>
      <w:pPr>
        <w:pStyle w:val="Heading2"/>
      </w:pPr>
      <w:r>
        <w:t>Dynamische Probiotika-Strategien für Nekrotisierende Enterokolitis in Frühgeborenen: Studienprotokoll</w:t>
      </w:r>
    </w:p>
    <w:p>
      <w:r>
        <w:rPr>
          <w:i/>
          <w:color w:val="666666"/>
          <w:sz w:val="18"/>
        </w:rPr>
        <w:t>Chehrazi M et al.  ·  BMJ Paediatr Open  ·  19.08.2026  ·  PMID 42618333</w:t>
      </w:r>
    </w:p>
    <w:p>
      <w:r>
        <w:t>Studienprotokoll für Target-Trial-Emulation mit Routinedaten der UK National Neonatal Research Database: Kausaleffekte von vier Probiotika-Entscheidungsdimensionen (Zeitpunkt, Stamm, Substrat, Antibiotikamanagement) bei Frühgeborenen ≤31+6 Wochen.</w:t>
      </w:r>
    </w:p>
    <w:p>
      <w:r>
        <w:rPr>
          <w:b/>
        </w:rPr>
        <w:t xml:space="preserve">Ergebnis: </w:t>
      </w:r>
      <w:r>
        <w:t>Protokoll beschreibt strukturiertes Kausalitätsgerüst für vier Probiotika-Dimensionen und explizite Zeit-Varianz-Berücksichtigung. Primäre Endpunkte: chirurgische Nekrotisierende Enterokolitis, Spätinfektionen und Sterblichkeit. Parametrische g-Formeln werden zur Confounder-Kontrolle verwendet; Ergebnisse sollen Designentwicklung randomisierter Versuche informieren.</w:t>
      </w:r>
    </w:p>
    <w:p>
      <w:r>
        <w:rPr>
          <w:b/>
          <w:sz w:val="19"/>
        </w:rPr>
        <w:t xml:space="preserve">Übertragbarkeit: </w:t>
      </w:r>
      <w:r>
        <w:rPr>
          <w:sz w:val="19"/>
        </w:rPr>
        <w:t>UK-Datenbank, vergleichbar mit deutschen Neonatologiedatensammlungen</w:t>
      </w:r>
    </w:p>
    <w:p>
      <w:r>
        <w:rPr>
          <w:color w:val="5A7D3A"/>
          <w:sz w:val="18"/>
        </w:rPr>
        <w:t>https://pubmed.ncbi.nlm.nih.gov/42618333/</w:t>
      </w:r>
    </w:p>
    <w:p>
      <w:pPr>
        <w:pStyle w:val="Heading2"/>
      </w:pPr>
      <w:r>
        <w:t>Phosphatidylcholin-Störungen bei kritischer Krankheit und Sepsis deuten auf biologische Besonderheit hin</w:t>
      </w:r>
    </w:p>
    <w:p>
      <w:r>
        <w:rPr>
          <w:i/>
          <w:color w:val="666666"/>
          <w:sz w:val="18"/>
        </w:rPr>
        <w:t>Mester P et al.  ·  Int J Mol Sci  ·  30.07.2026  ·  PMID 42589512</w:t>
      </w:r>
    </w:p>
    <w:p>
      <w:r>
        <w:t>Querschnittstudie mit 160 Intensivpatienten: 21 Plasma-Phosphatidylcholin-Spezies wurden gemessen, davon 15 bei SIRS/Sepsis ohne Zirrhose reduziert, nur PC 32:0 konsistent erhöht.</w:t>
      </w:r>
    </w:p>
    <w:p>
      <w:r>
        <w:rPr>
          <w:b/>
        </w:rPr>
        <w:t xml:space="preserve">Ergebnis: </w:t>
      </w:r>
      <w:r>
        <w:t>Bei SIRS/Sepsis ohne Leberzirrhose zeigten sich 15 PC-Spezies deutlich vermindert (p &lt; 0,05), während PC 32:0 erhöht war. Das Muster persistierte bei kombinierter Leberzirrhose. Keine signifikanten Unterschiede zwischen Überlebenden und Verstorbenen. PC 32:0-Erhöhung war transversgeschnitten konsistent und könnte eigene biologische Rolle spielen.</w:t>
      </w:r>
    </w:p>
    <w:p>
      <w:r>
        <w:rPr>
          <w:b/>
          <w:sz w:val="19"/>
        </w:rPr>
        <w:t xml:space="preserve">Übertragbarkeit: </w:t>
      </w:r>
      <w:r>
        <w:rPr>
          <w:sz w:val="19"/>
        </w:rPr>
        <w:t>Deutschland, diagnostische Markerbewertung ohne operative Folgerung; Datengrundlage unklar</w:t>
      </w:r>
    </w:p>
    <w:p>
      <w:r>
        <w:rPr>
          <w:color w:val="5A7D3A"/>
          <w:sz w:val="18"/>
        </w:rPr>
        <w:t>https://pubmed.ncbi.nlm.nih.gov/42589512/</w:t>
      </w:r>
    </w:p>
    <w:p>
      <w:pPr>
        <w:pStyle w:val="Heading2"/>
      </w:pPr>
      <w:r>
        <w:t>Natürliche Belüftung in Isoliermodulen reduziert Infektionsrisiko für Personal bei 160 L/s Luftwechsel</w:t>
      </w:r>
    </w:p>
    <w:p>
      <w:r>
        <w:rPr>
          <w:i/>
          <w:color w:val="666666"/>
          <w:sz w:val="18"/>
        </w:rPr>
        <w:t>Fontana L et al.  ·  Infect Control Hosp Epidemiol  ·  16.07.2026  ·  PMID 42460458</w:t>
      </w:r>
    </w:p>
    <w:p>
      <w:r>
        <w:t>Experimentelle CFD-Validierung und Simulation für tragbare Infektionsbehandlungsmodule (IDTM): Windgestützte natürliche Belüftung unter Variation von Windgeschwindigkeit (1–4 m/s) und Konfiguration; Infektionsrisiko mittels Wells-Riley-Modell für sieben Atemwegskeime quantifiziert.</w:t>
      </w:r>
    </w:p>
    <w:p>
      <w:r>
        <w:rPr>
          <w:b/>
        </w:rPr>
        <w:t xml:space="preserve">Ergebnis: </w:t>
      </w:r>
      <w:r>
        <w:t>Luftstrom variierte von 7 L/s (optimales Zugriffsmodul mit Windschutz + Moskitonetz bei 1 m/s) bis &gt;3100 L/s (ohne Netze bei 4 m/s). Bei 160 L/s Luftwechsel reduzierte sich Kurzzeit-Infektionsrisiko für Fachpersonal auf ≤1 % für alle Keime, Langzeit-Koexposition bei hohem Emissions-Erreger blieb jedoch risikobehaftet. Entfernung der Fenster-Netze war Wirksamste Massnahme; Hybrid-Belüftung nötig bei niedriger Windgeschwindigkeit.</w:t>
      </w:r>
    </w:p>
    <w:p>
      <w:r>
        <w:rPr>
          <w:b/>
          <w:sz w:val="19"/>
        </w:rPr>
        <w:t xml:space="preserve">Übertragbarkeit: </w:t>
      </w:r>
      <w:r>
        <w:rPr>
          <w:sz w:val="19"/>
        </w:rPr>
        <w:t>Schweiz/Österreich, modulare Isolierinfrastruktur; Ergebnis ist auf Notfallkapazität übertragbar</w:t>
      </w:r>
    </w:p>
    <w:p>
      <w:r>
        <w:rPr>
          <w:color w:val="5A7D3A"/>
          <w:sz w:val="18"/>
        </w:rPr>
        <w:t>https://pubmed.ncbi.nlm.nih.gov/42460458/</w:t>
      </w:r>
    </w:p>
    <w:p>
      <w:pPr>
        <w:pStyle w:val="Heading1"/>
      </w:pPr>
      <w:r>
        <w:t>Aufgenommen am 13.09.2026</w:t>
      </w:r>
    </w:p>
    <w:p>
      <w:pPr>
        <w:pStyle w:val="Heading2"/>
      </w:pPr>
      <w:r>
        <w:t>TeamSTEPPS-Workshop verbessert Teamfähigkeit und Kommunikationswissen bei Studierenden</w:t>
      </w:r>
    </w:p>
    <w:p>
      <w:r>
        <w:rPr>
          <w:i/>
          <w:color w:val="666666"/>
          <w:sz w:val="18"/>
        </w:rPr>
        <w:t>Yin Y et al.  ·  Nurs Open  ·  Sept. 2026  ·  PMID 42728718</w:t>
      </w:r>
    </w:p>
    <w:p>
      <w:r>
        <w:t>Evaluierung eines 4-stündigen TeamSTEPPS-Workshops mit Szenarien und Simulation für Studierende des dritten Jahres zur Verbesserung von Teamfähigkeit und Kommunikation im Versorgungskontext.</w:t>
      </w:r>
    </w:p>
    <w:p>
      <w:r>
        <w:rPr>
          <w:b/>
        </w:rPr>
        <w:t xml:space="preserve">Ergebnis: </w:t>
      </w:r>
      <w:r>
        <w:t>Gesamtscore der Chinese TeamSTEPPS Teamwork Perceptions Questionnaire stieg von 149,06±15,18 auf 159,45±16,28 (signifikant); Wissensprüfung stieg von 80,14±18,29 auf 87,33±8,43; Verbesserungen in Teamstruktur, Führung, Situationsbewusstsein und gegenseitiger Unterstützung.</w:t>
      </w:r>
    </w:p>
    <w:p>
      <w:r>
        <w:rPr>
          <w:b/>
          <w:sz w:val="19"/>
        </w:rPr>
        <w:t xml:space="preserve">Übertragbarkeit: </w:t>
      </w:r>
      <w:r>
        <w:rPr>
          <w:sz w:val="19"/>
        </w:rPr>
        <w:t>China, aber Transfer zu Deutschland durch standardisierte Simulation und etablierte Teamwork-Tools.</w:t>
      </w:r>
    </w:p>
    <w:p>
      <w:r>
        <w:rPr>
          <w:color w:val="5A7D3A"/>
          <w:sz w:val="18"/>
        </w:rPr>
        <w:t>https://pubmed.ncbi.nlm.nih.gov/42728718/</w:t>
      </w:r>
    </w:p>
    <w:p>
      <w:pPr>
        <w:pStyle w:val="Heading2"/>
      </w:pPr>
      <w:r>
        <w:t>Vasopressoranwendung bei Sepsis in Uganda und Ruanda: Prädiktoren für deren Einsatz</w:t>
      </w:r>
    </w:p>
    <w:p>
      <w:r>
        <w:rPr>
          <w:i/>
          <w:color w:val="666666"/>
          <w:sz w:val="18"/>
        </w:rPr>
        <w:t>Girard WS et al.  ·  Crit Care Explor  ·  01.09.2026  ·  PMID 42726203</w:t>
      </w:r>
    </w:p>
    <w:p>
      <w:r>
        <w:t>Retrospektive Kohortenstudie zu Vasopressoranwendung bei sepsierten Patienten in zwei Hochseuchenlastkliniken Ostafrikas mit Analyse der Behandlungsmuster.</w:t>
      </w:r>
    </w:p>
    <w:p>
      <w:r>
        <w:rPr>
          <w:b/>
        </w:rPr>
        <w:t xml:space="preserve">Ergebnis: </w:t>
      </w:r>
      <w:r>
        <w:t>Von 471 Septikämie-Patienten erhielten 24% (n=113) Vasopressoren; erhöhte UVA-Mortalitätsrisikoscores waren der stärkste Prädiktor für Vasopressoranwendung (adjustiertes OR 1,25; 95%-KI 1,14-1,27; p&lt;0,001); Sterblichkeit lag bei 30% (n=139).</w:t>
      </w:r>
    </w:p>
    <w:p>
      <w:r>
        <w:rPr>
          <w:b/>
          <w:sz w:val="19"/>
        </w:rPr>
        <w:t xml:space="preserve">Übertragbarkeit: </w:t>
      </w:r>
      <w:r>
        <w:rPr>
          <w:sz w:val="19"/>
        </w:rPr>
        <w:t>Uganda/Ruanda - Limitierte Ressourcen, aber Sepsismanagement relevant für alle Kontexte.</w:t>
      </w:r>
    </w:p>
    <w:p>
      <w:r>
        <w:rPr>
          <w:color w:val="5A7D3A"/>
          <w:sz w:val="18"/>
        </w:rPr>
        <w:t>https://pubmed.ncbi.nlm.nih.gov/42726203/</w:t>
      </w:r>
    </w:p>
    <w:p>
      <w:pPr>
        <w:pStyle w:val="Heading2"/>
      </w:pPr>
      <w:r>
        <w:t>Cefiderocol-Resistenztrends bei carbapenemresistenter Klebsiella pneumoniae vor klinischer Einführung</w:t>
      </w:r>
    </w:p>
    <w:p>
      <w:r>
        <w:rPr>
          <w:i/>
          <w:color w:val="666666"/>
          <w:sz w:val="18"/>
        </w:rPr>
        <w:t>Wang M et al.  ·  Front Cell Infect Microbiol  ·  27.08.2026  ·  PMID 42723943</w:t>
      </w:r>
    </w:p>
    <w:p>
      <w:r>
        <w:t>Retrospektive Analyse von 83 carbapenemresistenten K.-pneumoniae-Isolaten aus Blutkultur-Episoden eines chinesischen Tertiärkrankenhauses mit Cefiderocol-MIC-Bestimmung und genomischer Charakterisierung.</w:t>
      </w:r>
    </w:p>
    <w:p>
      <w:r>
        <w:rPr>
          <w:b/>
        </w:rPr>
        <w:t xml:space="preserve">Ergebnis: </w:t>
      </w:r>
      <w:r>
        <w:t>83,1% der Isolate waren nach CLSI-Kriterien Cefiderocol-empfindlich; MIC50 4 mg/L, MIC90 8 mg/L; 41% erfüllten Reduziertempfindlichkeitskriterien; ST11-Klone mit KL47/KL64 zeigten höhere MICs; bla_NDM-1 und Virulenzplasmide waren mit reduzierter Empfindlichkeit assoziiert.</w:t>
      </w:r>
    </w:p>
    <w:p>
      <w:r>
        <w:rPr>
          <w:b/>
          <w:sz w:val="19"/>
        </w:rPr>
        <w:t xml:space="preserve">Übertragbarkeit: </w:t>
      </w:r>
      <w:r>
        <w:rPr>
          <w:sz w:val="19"/>
        </w:rPr>
        <w:t>China, aber Resistenzmuster und Baseline vor Arzneimittelexposition international relevant.</w:t>
      </w:r>
    </w:p>
    <w:p>
      <w:r>
        <w:rPr>
          <w:color w:val="5A7D3A"/>
          <w:sz w:val="18"/>
        </w:rPr>
        <w:t>https://pubmed.ncbi.nlm.nih.gov/42723943/</w:t>
      </w:r>
    </w:p>
    <w:p>
      <w:pPr>
        <w:pStyle w:val="Heading2"/>
      </w:pPr>
      <w:r>
        <w:t>Schnelle Diagnostik von Blutkultur-Infektionen spart Leben und Kosten</w:t>
      </w:r>
    </w:p>
    <w:p>
      <w:r>
        <w:rPr>
          <w:i/>
          <w:color w:val="666666"/>
          <w:sz w:val="18"/>
        </w:rPr>
        <w:t>Karichu JK et al.  ·  J Med Econ  ·  10.09.2026  ·  PMID 42720132</w:t>
      </w:r>
    </w:p>
    <w:p>
      <w:r>
        <w:t>Budget-Impact-Analyse für England und USA zur Vorhersage der Kosteneffektivität von molekularen Schnelltests zur Pathogenerkennung bei Septikämien von 2025–2029.</w:t>
      </w:r>
    </w:p>
    <w:p>
      <w:r>
        <w:rPr>
          <w:b/>
        </w:rPr>
        <w:t xml:space="preserve">Ergebnis: </w:t>
      </w:r>
      <w:r>
        <w:t>In England 927000 BSI-Fälle vorhergesagt; Einsatz von Cobas Eplex BCID würde 1864 Leben retten und über £40 Millionen einsparen; in den USA 6882 Leben gerettet und über $450 Millionen Ersparnis; schnellere Pathogenidentifikation ermöglicht frühere Therapieoptimierung.</w:t>
      </w:r>
    </w:p>
    <w:p>
      <w:r>
        <w:rPr>
          <w:b/>
          <w:sz w:val="19"/>
        </w:rPr>
        <w:t xml:space="preserve">Übertragbarkeit: </w:t>
      </w:r>
      <w:r>
        <w:rPr>
          <w:sz w:val="19"/>
        </w:rPr>
        <w:t>England und USA, aber Technologie und Kostenperspektive relevant für deutsche Gesundheitssysteme.</w:t>
      </w:r>
    </w:p>
    <w:p>
      <w:r>
        <w:rPr>
          <w:color w:val="5A7D3A"/>
          <w:sz w:val="18"/>
        </w:rPr>
        <w:t>https://pubmed.ncbi.nlm.nih.gov/42720132/</w:t>
      </w:r>
    </w:p>
    <w:p>
      <w:pPr>
        <w:pStyle w:val="Heading2"/>
      </w:pPr>
      <w:r>
        <w:t>Hochgradige Transaminasenerhöhung ohne Hyperbilirubinämie: Unterschätzte Mortalitätsprognose</w:t>
      </w:r>
    </w:p>
    <w:p>
      <w:r>
        <w:rPr>
          <w:i/>
          <w:color w:val="666666"/>
          <w:sz w:val="18"/>
        </w:rPr>
        <w:t>Chalasani N et al.  ·  Clin Pharmacol Ther  ·  25.07.2026  ·  PMID 42502235</w:t>
      </w:r>
    </w:p>
    <w:p>
      <w:r>
        <w:t>Analyse von zwei Registern (DILIN und spanisches DILI-Register) mit insgesamt 964 Patienten zur prognostischen Bedeutung sehr hoher Transaminasen bei niedrig-normalem Bilirubin für druginduzierten Leberschaden.</w:t>
      </w:r>
    </w:p>
    <w:p>
      <w:r>
        <w:rPr>
          <w:b/>
        </w:rPr>
        <w:t xml:space="preserve">Ergebnis: </w:t>
      </w:r>
      <w:r>
        <w:t>Bei sehr hohem ALT und normalem Bilirubin entwickelten nur 1,3% die nR-basierte Hy's Law; minimale Bilirubinerhöhung erhöhte Risiko markant (OR 7,8); besonders hohe Transaminasen (&gt;1000 U/L) mit minimalen Bilirubinwerten hatten höchstes Risiko (OR 23,6).</w:t>
      </w:r>
    </w:p>
    <w:p>
      <w:r>
        <w:rPr>
          <w:b/>
          <w:sz w:val="19"/>
        </w:rPr>
        <w:t xml:space="preserve">Übertragbarkeit: </w:t>
      </w:r>
      <w:r>
        <w:rPr>
          <w:sz w:val="19"/>
        </w:rPr>
        <w:t>USA/Spanien, aber Befunde zur Prognoseeinschätzung unabhängig von Haftungskontext.</w:t>
      </w:r>
    </w:p>
    <w:p>
      <w:r>
        <w:rPr>
          <w:color w:val="5A7D3A"/>
          <w:sz w:val="18"/>
        </w:rPr>
        <w:t>https://pubmed.ncbi.nlm.nih.gov/42502235/</w:t>
      </w:r>
    </w:p>
    <w:p>
      <w:pPr>
        <w:pStyle w:val="Heading2"/>
      </w:pPr>
      <w:r>
        <w:t>Unbeabsichtigte Medikamentendiskrepanzen in Übergangsphasen: Überprüfungsfehler als Hauptursache</w:t>
      </w:r>
    </w:p>
    <w:p>
      <w:r>
        <w:rPr>
          <w:i/>
          <w:color w:val="666666"/>
          <w:sz w:val="18"/>
        </w:rPr>
        <w:t>Limmen B et al.  ·  Int J Clin Pharm  ·  18.07.2026  ·  PMID 42470584</w:t>
      </w:r>
    </w:p>
    <w:p>
      <w:r>
        <w:t>Analyse von 992 freiwillig gemeldeten Medikamentenzwischenfällen in Übergangsphasen aus niederländischen Krankenhäusern zur Identifikation der Ursachen von unbeabsichtigten Medikamentendiskrepanzen.</w:t>
      </w:r>
    </w:p>
    <w:p>
      <w:r>
        <w:rPr>
          <w:b/>
        </w:rPr>
        <w:t xml:space="preserve">Ergebnis: </w:t>
      </w:r>
      <w:r>
        <w:t>94% der Zwischenfälle waren menschliche Fehler, davon 49,6% Überprüfungsfehler und 24,8% Interventionsfehler; 74,1% erreichten den Patienten; Omissionen waren die häufigsten Diskrepanztypen (36,2%); kardiovaskuläre Medikamente am häufigsten betroffen (24,9%).</w:t>
      </w:r>
    </w:p>
    <w:p>
      <w:r>
        <w:rPr>
          <w:b/>
          <w:sz w:val="19"/>
        </w:rPr>
        <w:t xml:space="preserve">Übertragbarkeit: </w:t>
      </w:r>
      <w:r>
        <w:rPr>
          <w:sz w:val="19"/>
        </w:rPr>
        <w:t>Niederlande, vergleichbares Versicherungssystem und Dokumentationspflichten.</w:t>
      </w:r>
    </w:p>
    <w:p>
      <w:r>
        <w:rPr>
          <w:color w:val="5A7D3A"/>
          <w:sz w:val="18"/>
        </w:rPr>
        <w:t>https://pubmed.ncbi.nlm.nih.gov/42470584/</w:t>
      </w:r>
    </w:p>
    <w:p>
      <w:pPr>
        <w:pStyle w:val="Heading1"/>
      </w:pPr>
      <w:r>
        <w:t>Aufgenommen am 12.09.2026</w:t>
      </w:r>
    </w:p>
    <w:p>
      <w:pPr>
        <w:pStyle w:val="Heading2"/>
      </w:pPr>
      <w:r>
        <w:t>Ungeeignete Arzneimittelkaskaden in älteren Erwachsenen: Priorisierung nach Epidemiologie und Assoziationsstärke</w:t>
      </w:r>
    </w:p>
    <w:p>
      <w:r>
        <w:rPr>
          <w:i/>
          <w:color w:val="666666"/>
          <w:sz w:val="18"/>
        </w:rPr>
        <w:t>Rochon PA et al.  ·  BMJ  ·  10.09.2026  ·  PMID 42727946</w:t>
      </w:r>
    </w:p>
    <w:p>
      <w:r>
        <w:t>Bevölkerungsbasierte Analyse administrativer Daten zur Identifikation potenziell unerwünschter Verschreibungskaskaden in der älteren kanadischen Bevölkerung mit systematischer Priorisierung.</w:t>
      </w:r>
    </w:p>
    <w:p>
      <w:r>
        <w:rPr>
          <w:b/>
        </w:rPr>
        <w:t xml:space="preserve">Ergebnis: </w:t>
      </w:r>
      <w:r>
        <w:t>24 von 65 untersuchten Kaskaden erfüllten Priorisierungskriterien (Prävalenz ≥5%, Inzidenz ≥1%, angepasste Sequenzratio &gt;1). Höchste Inzidenzen: Eisen-zu-Laxans 11,9%, Statine-zu-Schmerzmittel 10,9%, Cholinesterase-Inhibitor-zu-Schlafmittel 10,3%. Stärkste zeitliche Assoziationen: Kortikosteroid-zu-Antipsychotika RR 2,55, Laxans-zu-Antidiarrhöika RR 2,53.</w:t>
      </w:r>
    </w:p>
    <w:p>
      <w:r>
        <w:rPr>
          <w:b/>
          <w:sz w:val="19"/>
        </w:rPr>
        <w:t xml:space="preserve">Übertragbarkeit: </w:t>
      </w:r>
      <w:r>
        <w:rPr>
          <w:sz w:val="19"/>
        </w:rPr>
        <w:t>Kanada, vergleichbarer Versicherungskontext, Deprescribing-Ansätze übertragbar</w:t>
      </w:r>
    </w:p>
    <w:p>
      <w:r>
        <w:rPr>
          <w:color w:val="5A7D3A"/>
          <w:sz w:val="18"/>
        </w:rPr>
        <w:t>https://pubmed.ncbi.nlm.nih.gov/42727946/</w:t>
      </w:r>
    </w:p>
    <w:p>
      <w:pPr>
        <w:pStyle w:val="Heading2"/>
      </w:pPr>
      <w:r>
        <w:t>Chirurgische Wundinfektionen in Frankreich: Systemische Analyse von Häufigkeit, Kosten und Wiederaufnahmen</w:t>
      </w:r>
    </w:p>
    <w:p>
      <w:r>
        <w:rPr>
          <w:i/>
          <w:color w:val="666666"/>
          <w:sz w:val="18"/>
        </w:rPr>
        <w:t>Aragno VA et al.  ·  Inquiry  ·  11.09.2026  ·  PMID 42727077</w:t>
      </w:r>
    </w:p>
    <w:p>
      <w:r>
        <w:t>Retrospektive Analyse der französischen Krankenversicherungsdatenbank zu Häufigkeit und Kostenfolgen von Wundkomplikationen nach elektiven Operationen in vier Fachgebieten.</w:t>
      </w:r>
    </w:p>
    <w:p>
      <w:r>
        <w:rPr>
          <w:b/>
        </w:rPr>
        <w:t xml:space="preserve">Ergebnis: </w:t>
      </w:r>
      <w:r>
        <w:t>Infektionsraten (SSI) ranged 0.44 % (orthopädisch) to 3.09 % (Magen-Darm); Herzchirurgie zeigte höchste Komplikationsrate 14,91 %. Wundkomplikationen führten zu 11–28 zusätzlichen Hospitalisierungstagen und 6.622–22.109 Euro Mehrkosten pro Fall; Wiederaufnahmen insgesamt 840 Mio. Euro Belastung pro Jahr. Vergleichbare administrative Datenqualität zu Deutschland.</w:t>
      </w:r>
    </w:p>
    <w:p>
      <w:r>
        <w:rPr>
          <w:b/>
          <w:sz w:val="19"/>
        </w:rPr>
        <w:t xml:space="preserve">Übertragbarkeit: </w:t>
      </w:r>
      <w:r>
        <w:rPr>
          <w:sz w:val="19"/>
        </w:rPr>
        <w:t>Frankreich, vergleichbare Sozialversicherung, PMSI-Datensatz ähnlich Fallpauschalensystem</w:t>
      </w:r>
    </w:p>
    <w:p>
      <w:r>
        <w:rPr>
          <w:color w:val="5A7D3A"/>
          <w:sz w:val="18"/>
        </w:rPr>
        <w:t>https://pubmed.ncbi.nlm.nih.gov/42727077/</w:t>
      </w:r>
    </w:p>
    <w:p>
      <w:pPr>
        <w:pStyle w:val="Heading2"/>
      </w:pPr>
      <w:r>
        <w:t>Multiresistente Blutstrominfektion bei Kindern mit Hochrisiko-Leukämie: Levofloxacin-Prophylaxe und Resistenzentwicklung</w:t>
      </w:r>
    </w:p>
    <w:p>
      <w:r>
        <w:rPr>
          <w:i/>
          <w:color w:val="666666"/>
          <w:sz w:val="18"/>
        </w:rPr>
        <w:t>Alsabagh M et al.  ·  Pol Merkur Lekarski  ·  2026  ·  PMID 42726826</w:t>
      </w:r>
    </w:p>
    <w:p>
      <w:r>
        <w:t>Retrospektive Kohortenstudie zum Vergleich von multiresistenter Kolonisation und Blutstrominfektion bei intensiv chemotherapierten Kindern mit und ohne Fluorchinolon-Prophylaxe.</w:t>
      </w:r>
    </w:p>
    <w:p>
      <w:r>
        <w:rPr>
          <w:b/>
        </w:rPr>
        <w:t xml:space="preserve">Ergebnis: </w:t>
      </w:r>
      <w:r>
        <w:t>82 Kinder (67,1% männlich), medianes Alter 10 Jahre. Febrile Neutropenie in 89,3% der Zyklen. Fluorchinolon-Empfindlichkeit niedrig: 16% bei rektalen und 11,8% bei Blutkultur-Isolaten, abnehmend über Zyklen. Mortalität assoziiert mit multiresistenter Klebsiella pneumoniae und Fluorchinolon-Resistenz. Routine-Levofloxacin-Prophylaxe bietet begrenzte Vorteile.</w:t>
      </w:r>
    </w:p>
    <w:p>
      <w:r>
        <w:rPr>
          <w:b/>
          <w:sz w:val="19"/>
        </w:rPr>
        <w:t xml:space="preserve">Übertragbarkeit: </w:t>
      </w:r>
      <w:r>
        <w:rPr>
          <w:sz w:val="19"/>
        </w:rPr>
        <w:t>Ägypten, Antibiotic-Stewardship-Problem international relevant</w:t>
      </w:r>
    </w:p>
    <w:p>
      <w:r>
        <w:rPr>
          <w:color w:val="5A7D3A"/>
          <w:sz w:val="18"/>
        </w:rPr>
        <w:t>https://pubmed.ncbi.nlm.nih.gov/42726826/</w:t>
      </w:r>
    </w:p>
    <w:p>
      <w:pPr>
        <w:pStyle w:val="Heading2"/>
      </w:pPr>
      <w:r>
        <w:t>Multizentrischer Ausbruch durch Candida viswanathii in kontaminiertem Milrinon, Italien 2025</w:t>
      </w:r>
    </w:p>
    <w:p>
      <w:r>
        <w:rPr>
          <w:i/>
          <w:color w:val="666666"/>
          <w:sz w:val="18"/>
        </w:rPr>
        <w:t>Mesini A et al.  ·  Euro Surveill  ·  Sept. 2026  ·  PMID 42725369</w:t>
      </w:r>
    </w:p>
    <w:p>
      <w:r>
        <w:t>Epidemiologische Untersuchung eines Ausbruchs von Blutstrominfektion durch ein seltenes Hefepilz-Medikament-assoziiert nach hypothesengestützter Ermittlung.</w:t>
      </w:r>
    </w:p>
    <w:p>
      <w:r>
        <w:rPr>
          <w:b/>
        </w:rPr>
        <w:t xml:space="preserve">Ergebnis: </w:t>
      </w:r>
      <w:r>
        <w:t>40 Fälle von Kandidämie in vier italienischen Zentren, April–Oktober 2025, alle durch kontaminiertes Milrinon verursacht. Starke geografische Assoziation mit indischem Subkontinent führte zur Identifikation des Infektionsöls. Sofortige Maßnahmen: Produktrückzug, Benachrichtigung der Behörden, aktive mikrobiologische Überwachung exponierter Patienten.</w:t>
      </w:r>
    </w:p>
    <w:p>
      <w:r>
        <w:rPr>
          <w:b/>
          <w:sz w:val="19"/>
        </w:rPr>
        <w:t xml:space="preserve">Übertragbarkeit: </w:t>
      </w:r>
      <w:r>
        <w:rPr>
          <w:sz w:val="19"/>
        </w:rPr>
        <w:t>Europa-Italien, klinische Ausbruchserkennung und Pharmakovigilanz übertragbar</w:t>
      </w:r>
    </w:p>
    <w:p>
      <w:r>
        <w:rPr>
          <w:color w:val="5A7D3A"/>
          <w:sz w:val="18"/>
        </w:rPr>
        <w:t>https://pubmed.ncbi.nlm.nih.gov/42725369/</w:t>
      </w:r>
    </w:p>
    <w:p>
      <w:pPr>
        <w:pStyle w:val="Heading2"/>
      </w:pPr>
      <w:r>
        <w:t>Aufbereitung chirurgischer Instrumente in Katastrophenfällen: Barrieren, Lücken und Handlungsoptionen</w:t>
      </w:r>
    </w:p>
    <w:p>
      <w:r>
        <w:rPr>
          <w:i/>
          <w:color w:val="666666"/>
          <w:sz w:val="18"/>
        </w:rPr>
        <w:t>Nematollahi MS et al.  ·  Antimicrob Resist Infect Control  ·  28.08.2026  ·  PMID 42723127</w:t>
      </w:r>
    </w:p>
    <w:p>
      <w:r>
        <w:t>Systematischer Review zu Vulnerabilitäten, Barrieren und adaptiven Strategien bei der Sterilisation wiederverwendbarer Instrumente während Infektionsausbrüchen und Katastrophen.</w:t>
      </w:r>
    </w:p>
    <w:p>
      <w:r>
        <w:rPr>
          <w:b/>
        </w:rPr>
        <w:t xml:space="preserve">Ergebnis: </w:t>
      </w:r>
      <w:r>
        <w:t>11 Studien aus neun Ländern. Wiederkehrende Barrieren: unvollständige Reinigung, mangelhafte Lumen-Dekontamination, Geräteausfälle, kontaminierte Wasser-/Spülsysteme, begrenzte Notfallvorbereitung, Personalengpässe, fehlende Instrumentenverfolgung. Adaptive Strategien: standardisierte Reinigungsprotokolle, Umgebungsüberwachung, Schulung, mobile/Container-Sterilisationskapazität, Notfall-Aufbereitungskonzepte. Herausforderungen sind operational-infrastrukturell, nicht isoliert technisch.</w:t>
      </w:r>
    </w:p>
    <w:p>
      <w:r>
        <w:rPr>
          <w:b/>
          <w:sz w:val="19"/>
        </w:rPr>
        <w:t xml:space="preserve">Übertragbarkeit: </w:t>
      </w:r>
      <w:r>
        <w:rPr>
          <w:sz w:val="19"/>
        </w:rPr>
        <w:t>Internationale Evidenz aus Ausbruchsuntersuchungen, auf Deutschland übertragbar</w:t>
      </w:r>
    </w:p>
    <w:p>
      <w:r>
        <w:rPr>
          <w:color w:val="5A7D3A"/>
          <w:sz w:val="18"/>
        </w:rPr>
        <w:t>https://pubmed.ncbi.nlm.nih.gov/42723127/</w:t>
      </w:r>
    </w:p>
    <w:p>
      <w:pPr>
        <w:pStyle w:val="Heading2"/>
      </w:pPr>
      <w:r>
        <w:t>CXCL10-Genotyp rs8878 und T-Zell-Erhalt im Sepsis-Verlauf: Biomarker für Risikostratifizierung</w:t>
      </w:r>
    </w:p>
    <w:p>
      <w:r>
        <w:rPr>
          <w:i/>
          <w:color w:val="666666"/>
          <w:sz w:val="18"/>
        </w:rPr>
        <w:t>Dyck B et al.  ·  Front Immunol  ·  17.07.2026  ·  PMID 42540005</w:t>
      </w:r>
    </w:p>
    <w:p>
      <w:r>
        <w:t>Prospektive Kohortenstudie zu Assoziation des CXCL10-Genotyps mit T-Lymphozyten-Homöostase und 30-Tage-Mortalität bei Sepsis-Patienten in Deutschland.</w:t>
      </w:r>
    </w:p>
    <w:p>
      <w:r>
        <w:rPr>
          <w:b/>
        </w:rPr>
        <w:t xml:space="preserve">Ergebnis: </w:t>
      </w:r>
      <w:r>
        <w:t>278 sepsis-Patienten untersucht. AA-Genotyp-Träger hatten höhere zirkulierende T-Zell-Zahlen und verbesserte Überlebenschancen vs. G-Allel-Träger. Höhere Gesamt- und CD8+-T-Zell-Zahlen signifikant mit verbessertem Überleben assoziiert. CXCL10-Konzentrationen Tag 1 positiv mit IL-6, IL-8, IL-10, IL-18, MCP-1, IFN-γ korreliert, invers mit T-Zell-Zahlen. AA-Genotyp prädiktiv für bessere 30-Tage-Überlebenschance.</w:t>
      </w:r>
    </w:p>
    <w:p>
      <w:r>
        <w:rPr>
          <w:b/>
          <w:sz w:val="19"/>
        </w:rPr>
        <w:t xml:space="preserve">Übertragbarkeit: </w:t>
      </w:r>
      <w:r>
        <w:rPr>
          <w:sz w:val="19"/>
        </w:rPr>
        <w:t>Deutschland, Ruhr-Universität Bochum, direkt auf deutsches Patientenkollektiv anwendbar</w:t>
      </w:r>
    </w:p>
    <w:p>
      <w:r>
        <w:rPr>
          <w:color w:val="5A7D3A"/>
          <w:sz w:val="18"/>
        </w:rPr>
        <w:t>https://pubmed.ncbi.nlm.nih.gov/42540005/</w:t>
      </w:r>
    </w:p>
    <w:p>
      <w:pPr>
        <w:pStyle w:val="Heading1"/>
      </w:pPr>
      <w:r>
        <w:t>Aufgenommen am 11.09.2026</w:t>
      </w:r>
    </w:p>
    <w:p>
      <w:pPr>
        <w:pStyle w:val="Heading2"/>
      </w:pPr>
      <w:r>
        <w:t>Rapid diagnostik senkt Zeitspanne bei Gram-negativer Sepsis um 14-19 Stunden</w:t>
      </w:r>
    </w:p>
    <w:p>
      <w:r>
        <w:rPr>
          <w:i/>
          <w:color w:val="666666"/>
          <w:sz w:val="18"/>
        </w:rPr>
        <w:t>Benyahia M et al.  ·  PLoS One  ·  10.09.2026  ·  PMID 42721154</w:t>
      </w:r>
    </w:p>
    <w:p>
      <w:r>
        <w:t>Prospektive Studie zur Beschleunigung der Diagnostik bei Gram-negativen Blutstrominfektionen auf Intensivstationen mit molekularen und schnellen Empfindlichkeitsmethoden.</w:t>
      </w:r>
    </w:p>
    <w:p>
      <w:r>
        <w:rPr>
          <w:b/>
        </w:rPr>
        <w:t xml:space="preserve">Ergebnis: </w:t>
      </w:r>
      <w:r>
        <w:t>BioFire BCID2 und Vitek REVEAL reduzierten die Identifikationszeit um 19,0 Stunden und die Empfindlichkeitstestung um 14,9 Stunden bei 50 ICU-Patienten mit Monomikrobium-Infektionen; kategoriale Übereinstimmung mit Standardmethoden 97,7%.</w:t>
      </w:r>
    </w:p>
    <w:p>
      <w:r>
        <w:rPr>
          <w:b/>
          <w:sz w:val="19"/>
        </w:rPr>
        <w:t xml:space="preserve">Übertragbarkeit: </w:t>
      </w:r>
      <w:r>
        <w:rPr>
          <w:sz w:val="19"/>
        </w:rPr>
        <w:t>Frankreich, vergleichbares Dokumentationssystem in der Intensivmedizin</w:t>
      </w:r>
    </w:p>
    <w:p>
      <w:r>
        <w:rPr>
          <w:color w:val="5A7D3A"/>
          <w:sz w:val="18"/>
        </w:rPr>
        <w:t>https://pubmed.ncbi.nlm.nih.gov/42721154/</w:t>
      </w:r>
    </w:p>
    <w:p>
      <w:pPr>
        <w:pStyle w:val="Heading2"/>
      </w:pPr>
      <w:r>
        <w:t>Albuminmangel nach E.-coli-Sepsis erhöht Sterblichkeit um 10-fach bei Kindern</w:t>
      </w:r>
    </w:p>
    <w:p>
      <w:r>
        <w:rPr>
          <w:i/>
          <w:color w:val="666666"/>
          <w:sz w:val="18"/>
        </w:rPr>
        <w:t>Cheng J et al.  ·  Ann Med  ·  10.09.2026  ·  PMID 42720514</w:t>
      </w:r>
    </w:p>
    <w:p>
      <w:r>
        <w:t>Retrospektive Kohortenstudie zu Prädiktoren der Krankenhaus-Sterblichkeit bei Kindern mit E.-coli-Blutstrominfektionen, fokussiert auf post-infektiven Albuminmangel.</w:t>
      </w:r>
    </w:p>
    <w:p>
      <w:r>
        <w:rPr>
          <w:b/>
        </w:rPr>
        <w:t xml:space="preserve">Ergebnis: </w:t>
      </w:r>
      <w:r>
        <w:t>Bei 211 Kindern mit E.-coli-Sepsis betrug die Sterblichkeit 12,32%; sekundärer Albuminmangel war nach Kontrolle für Beatmung, PRISM-Score und Zeit bis Nachweis mit Odds Ratio 10,59 (95% KI 1,39-80,91; p&lt;0,05) unabhängig mit Mortalität assoziiert.</w:t>
      </w:r>
    </w:p>
    <w:p>
      <w:r>
        <w:rPr>
          <w:b/>
          <w:sz w:val="19"/>
        </w:rPr>
        <w:t xml:space="preserve">Übertragbarkeit: </w:t>
      </w:r>
      <w:r>
        <w:rPr>
          <w:sz w:val="19"/>
        </w:rPr>
        <w:t>China, außereuropäisch; Struktur der Risikostratifizierung übertragbar</w:t>
      </w:r>
    </w:p>
    <w:p>
      <w:r>
        <w:rPr>
          <w:color w:val="5A7D3A"/>
          <w:sz w:val="18"/>
        </w:rPr>
        <w:t>https://pubmed.ncbi.nlm.nih.gov/42720514/</w:t>
      </w:r>
    </w:p>
    <w:p>
      <w:pPr>
        <w:pStyle w:val="Heading2"/>
      </w:pPr>
      <w:r>
        <w:t>Klinische Antibiotikatiming bei Sepsis folgt Zwei-Achsen-Muster</w:t>
      </w:r>
    </w:p>
    <w:p>
      <w:r>
        <w:rPr>
          <w:i/>
          <w:color w:val="666666"/>
          <w:sz w:val="18"/>
        </w:rPr>
        <w:t>Currey D et al.  ·  Crit Care Explor  ·  01.09.2026  ·  PMID 42720074</w:t>
      </w:r>
    </w:p>
    <w:p>
      <w:r>
        <w:t>Retrospektive Observationsstudie mit maschinellem Lernen zur Validierung eines Dual-Achsen-Modells für Antibiotikatiming bei Verdacht auf Sepsis in 199.062 Notaufnahmen.</w:t>
      </w:r>
    </w:p>
    <w:p>
      <w:r>
        <w:rPr>
          <w:b/>
        </w:rPr>
        <w:t xml:space="preserve">Ergebnis: </w:t>
      </w:r>
      <w:r>
        <w:t>Bei 115.152 Notaufnahmen validiert: Antibiotikatiming folgt kontinuierlichem Gradienten mit Wahrscheinlichkeit von Infektion und physiologischem Schweregrad (Interaktion p=0,0013); verzögertes Timing über Erwartung hinaus assoziiert mit erhöhter 3-Tage-ICU-Rate oder Sterblichkeit (p&lt;0,001).</w:t>
      </w:r>
    </w:p>
    <w:p>
      <w:r>
        <w:rPr>
          <w:b/>
          <w:sz w:val="19"/>
        </w:rPr>
        <w:t xml:space="preserve">Übertragbarkeit: </w:t>
      </w:r>
      <w:r>
        <w:rPr>
          <w:sz w:val="19"/>
        </w:rPr>
        <w:t>USA, aber Sicherheitsbefund zur Entscheidungsfindung unabhängig von System</w:t>
      </w:r>
    </w:p>
    <w:p>
      <w:r>
        <w:rPr>
          <w:color w:val="5A7D3A"/>
          <w:sz w:val="18"/>
        </w:rPr>
        <w:t>https://pubmed.ncbi.nlm.nih.gov/42720074/</w:t>
      </w:r>
    </w:p>
    <w:p>
      <w:pPr>
        <w:pStyle w:val="Heading2"/>
      </w:pPr>
      <w:r>
        <w:t>Ärztliche Entwertung – systematische Definition eines Sicherheitsrisikos</w:t>
      </w:r>
    </w:p>
    <w:p>
      <w:r>
        <w:rPr>
          <w:i/>
          <w:color w:val="666666"/>
          <w:sz w:val="18"/>
        </w:rPr>
        <w:t>Lerch SP et al.  ·  BMC Health Serv Res  ·  08.09.2026  ·  PMID 42717341</w:t>
      </w:r>
    </w:p>
    <w:p>
      <w:r>
        <w:t>Scoping Review zur Begriffsklärung, Messung, Ursachen und Folgen von ärztlicher Entwertung und medizinischem Gaslighting anhand von 158 wissenschaftlichen Arbeiten.</w:t>
      </w:r>
    </w:p>
    <w:p>
      <w:r>
        <w:rPr>
          <w:b/>
        </w:rPr>
        <w:t xml:space="preserve">Ergebnis: </w:t>
      </w:r>
      <w:r>
        <w:t>Erhebliche Inkonsistenz in Definitionen von Entwertung, Nichternstnehmen und Gaslighting; Phänomen ist multifaktoriell (diagnostische Schwierigkeiten, strukturelle Faktoren, Stigma, Wissenlücken); assoziiert mit Verhaltens-, emotionalen, kognitiven, körperlichen und systemischen Schäden; Validierung und Interventionen auf mehreren Ebenen erforderlich.</w:t>
      </w:r>
    </w:p>
    <w:p>
      <w:r>
        <w:rPr>
          <w:b/>
          <w:sz w:val="19"/>
        </w:rPr>
        <w:t xml:space="preserve">Übertragbarkeit: </w:t>
      </w:r>
      <w:r>
        <w:rPr>
          <w:sz w:val="19"/>
        </w:rPr>
        <w:t>Deutschland (Autorin Greifswald), hohes Transferpotenzial für Patientensicherheitsforschung</w:t>
      </w:r>
    </w:p>
    <w:p>
      <w:r>
        <w:rPr>
          <w:color w:val="5A7D3A"/>
          <w:sz w:val="18"/>
        </w:rPr>
        <w:t>https://pubmed.ncbi.nlm.nih.gov/42717341/</w:t>
      </w:r>
    </w:p>
    <w:p>
      <w:pPr>
        <w:pStyle w:val="Heading2"/>
      </w:pPr>
      <w:r>
        <w:t>Antimikrobielles Stewardship für ältere Sepsis-Patienten – Pfad für Ressourcen-begrenzte Länder</w:t>
      </w:r>
    </w:p>
    <w:p>
      <w:r>
        <w:rPr>
          <w:i/>
          <w:color w:val="666666"/>
          <w:sz w:val="18"/>
        </w:rPr>
        <w:t>Jing L et al.  ·  J Infect Dev Ctries  ·  31.08.2026  ·  PMID 42715272</w:t>
      </w:r>
    </w:p>
    <w:p>
      <w:r>
        <w:t>Retrospektive Kohortenstudie zu Gram-negativer Sepsis bei 122 älteren Patienten in Shanghai mit Ziel, einen kosteneffizienten, lokale Resistenzprofile berücksichtigenden Behandlungspfad zu entwickeln.</w:t>
      </w:r>
    </w:p>
    <w:p>
      <w:r>
        <w:rPr>
          <w:b/>
        </w:rPr>
        <w:t xml:space="preserve">Ergebnis: </w:t>
      </w:r>
      <w:r>
        <w:t>Gram-negative Keime dominierten (54,9%); 28-Tage-Mortalität 37,7%; Cefoperazon-Sulbactam-Empfindlichkeit 85,0%; unabhängige Mortalitätsprädiktoren waren Alter (aOR 1,10 pro Jahr), ICU-Aufnahme (aOR 6,65), Beatmung (aOR 5,78), Dialyse (aOR 3,62); entwickelter Karbapenem-sparender Pfad für Stewardship.</w:t>
      </w:r>
    </w:p>
    <w:p>
      <w:r>
        <w:rPr>
          <w:b/>
          <w:sz w:val="19"/>
        </w:rPr>
        <w:t xml:space="preserve">Übertragbarkeit: </w:t>
      </w:r>
      <w:r>
        <w:rPr>
          <w:sz w:val="19"/>
        </w:rPr>
        <w:t>China, aber Prinzipien zu lokalen Resistenzmustern und Stewardship international übertragbar</w:t>
      </w:r>
    </w:p>
    <w:p>
      <w:r>
        <w:rPr>
          <w:color w:val="5A7D3A"/>
          <w:sz w:val="18"/>
        </w:rPr>
        <w:t>https://pubmed.ncbi.nlm.nih.gov/42715272/</w:t>
      </w:r>
    </w:p>
    <w:p>
      <w:pPr>
        <w:pStyle w:val="Heading2"/>
      </w:pPr>
      <w:r>
        <w:t>Pflegeausfälle führen zu Strafverurteilungen – zehn Urteile analysiert</w:t>
      </w:r>
    </w:p>
    <w:p>
      <w:r>
        <w:rPr>
          <w:i/>
          <w:color w:val="666666"/>
          <w:sz w:val="18"/>
        </w:rPr>
        <w:t>Noacco M et al.  ·  Int J Nurs Stud  ·  24.07.2026  ·  PMID 42526145</w:t>
      </w:r>
    </w:p>
    <w:p>
      <w:r>
        <w:t>Qualitative Dokumentenanalyse von Urteilen des italienischen Obersten Kasationshofes zu Verurteilungen von Pflegepersonen wegen Verwahrlosung oder Verzögerung bei Pflegeleistungen zwischen 2004 und 2022.</w:t>
      </w:r>
    </w:p>
    <w:p>
      <w:r>
        <w:rPr>
          <w:b/>
        </w:rPr>
        <w:t xml:space="preserve">Ergebnis: </w:t>
      </w:r>
      <w:r>
        <w:t>10 Urteile zwischen Dezember 2004 und Oktober 2022; in 8 Fällen trat Patiententod ein, in 2 Fällen Dauerschäden; häufigste Ausfälle waren unzureichende Vitalzeichenüberwachung, postoperative Versorgung, unzureichende Dokumentation, Vernachlässigung von Basispflege; Ausfälle auf Ebenen von Einzelperson, Station und System identifiziert.</w:t>
      </w:r>
    </w:p>
    <w:p>
      <w:r>
        <w:rPr>
          <w:b/>
          <w:sz w:val="19"/>
        </w:rPr>
        <w:t xml:space="preserve">Übertragbarkeit: </w:t>
      </w:r>
      <w:r>
        <w:rPr>
          <w:sz w:val="19"/>
        </w:rPr>
        <w:t>Italien, anderes Haftungssystem ohne Verschuldensnachweis; Faktoren des Versorgungsausfalls sind relevant</w:t>
      </w:r>
    </w:p>
    <w:p>
      <w:r>
        <w:rPr>
          <w:color w:val="5A7D3A"/>
          <w:sz w:val="18"/>
        </w:rPr>
        <w:t>https://pubmed.ncbi.nlm.nih.gov/42526145/</w:t>
      </w:r>
    </w:p>
    <w:p>
      <w:pPr>
        <w:pStyle w:val="Heading1"/>
      </w:pPr>
      <w:r>
        <w:t>Aufgenommen am 10.09.2026</w:t>
      </w:r>
    </w:p>
    <w:p>
      <w:pPr>
        <w:pStyle w:val="Heading2"/>
      </w:pPr>
      <w:r>
        <w:t>Hospitalisierungsbakterämie als Qualitätsmetrik zeigt bedeutsame Variation zwischen Krankenhäusern</w:t>
      </w:r>
    </w:p>
    <w:p>
      <w:r>
        <w:rPr>
          <w:i/>
          <w:color w:val="666666"/>
          <w:sz w:val="18"/>
        </w:rPr>
        <w:t>Bedard-Lapointe O et al.  ·  JAMA Netw Open  ·  01.09.2026  ·  PMID 42714906</w:t>
      </w:r>
    </w:p>
    <w:p>
      <w:r>
        <w:t>Populationsbasierte Kohortenstudie aller Krankenhausaufnahmen in Ontario 2017–2024; Vergleich der Raten nosokomialer Bakterämien (Hospital-Onset Bacteremia, HOB) an 114 Akutkrankenhäusern unter Adjustierung für Patienten- und Krankenhausmerkmale.</w:t>
      </w:r>
    </w:p>
    <w:p>
      <w:r>
        <w:rPr>
          <w:b/>
        </w:rPr>
        <w:t xml:space="preserve">Ergebnis: </w:t>
      </w:r>
      <w:r>
        <w:t>3.325.900 Aufnahmen, 61.452 HOB-Episoden über 29.721.745 Aufnahmetage, Gesamtrate 2,07 pro 1.000 Aufnahmetage. Über 114 Krankenhäuser deutliche Variation: 10. Perzentil 0,39, 25. Perzentil 0,71, Median 1,08, 75. Perzentil 1,68, 90. Perzentil 2,27 pro 1.000 Aufnahmetage. Random-Intercept für Krankenhäuser SD 0,36 (95%-CI 0,29–0,42), Rate-Ratio 1,43 (95%-CI 1,34–1,52) pro 1 SD. HOB-Rate ein zuverlässiger Qualitätsindikator zur Differenzierung zwischen Kliniken.</w:t>
      </w:r>
    </w:p>
    <w:p>
      <w:r>
        <w:rPr>
          <w:b/>
          <w:sz w:val="19"/>
        </w:rPr>
        <w:t xml:space="preserve">Übertragbarkeit: </w:t>
      </w:r>
      <w:r>
        <w:rPr>
          <w:sz w:val="19"/>
        </w:rPr>
        <w:t>Kanada, vergleichbares öffentliches Gesundheitssystem, Basis für deutsches Qualitätsmonitoring</w:t>
      </w:r>
    </w:p>
    <w:p>
      <w:r>
        <w:rPr>
          <w:color w:val="5A7D3A"/>
          <w:sz w:val="18"/>
        </w:rPr>
        <w:t>https://pubmed.ncbi.nlm.nih.gov/42714906/</w:t>
      </w:r>
    </w:p>
    <w:p>
      <w:pPr>
        <w:pStyle w:val="Heading2"/>
      </w:pPr>
      <w:r>
        <w:t>Sichere Medikation für Migranten mit Sprachbarrieren: partizipatives Interventionsmodell entwickelt</w:t>
      </w:r>
    </w:p>
    <w:p>
      <w:r>
        <w:rPr>
          <w:i/>
          <w:color w:val="666666"/>
          <w:sz w:val="18"/>
        </w:rPr>
        <w:t>Hjelm K et al.  ·  BMC Health Serv Res  ·  07.09.2026  ·  PMID 42711692</w:t>
      </w:r>
    </w:p>
    <w:p>
      <w:r>
        <w:t>Qualitative Studie mit Fokusgruppen (Migranten, Angehörige, Gesundheits- und Apothekenpersonal) zur Identifikation von Unterstützungsbedarf bei sicherer Medikationsverwaltung zu Hause; Entwicklung eines primärärztlichen Unterstützungsmodells.</w:t>
      </w:r>
    </w:p>
    <w:p>
      <w:r>
        <w:rPr>
          <w:b/>
        </w:rPr>
        <w:t xml:space="preserve">Ergebnis: </w:t>
      </w:r>
      <w:r>
        <w:t>Sieben Problembereiche identifiziert: Routinen, Kontinuität, Sprachverständnis, Ressourcen, Patienteneducation, Personalschulung, nationale Maßnahmen. Erforderliche Unterstützung auf allen Ebenen – besonders institutionell und infrastrukturell – sowie in alltäglichen Arzt-Patienten-Interaktionen. Interventionsmodell mit erweitertem interdisziplinärem Team, Angehörigen, Apothekern und erreichbarem Koordinator entwickelt.</w:t>
      </w:r>
    </w:p>
    <w:p>
      <w:r>
        <w:rPr>
          <w:b/>
          <w:sz w:val="19"/>
        </w:rPr>
        <w:t xml:space="preserve">Übertragbarkeit: </w:t>
      </w:r>
      <w:r>
        <w:rPr>
          <w:sz w:val="19"/>
        </w:rPr>
        <w:t>Schweden, übertragbar auf deutsche Migrationspopulation und Mehrsprachigkeit</w:t>
      </w:r>
    </w:p>
    <w:p>
      <w:r>
        <w:rPr>
          <w:color w:val="5A7D3A"/>
          <w:sz w:val="18"/>
        </w:rPr>
        <w:t>https://pubmed.ncbi.nlm.nih.gov/42711692/</w:t>
      </w:r>
    </w:p>
    <w:p>
      <w:pPr>
        <w:pStyle w:val="Heading2"/>
      </w:pPr>
      <w:r>
        <w:t>Medikamentensicherheit bei mitochondrialen Erkrankungen: Metformin, Beta-Blocker, Statine potentiell problematisch</w:t>
      </w:r>
    </w:p>
    <w:p>
      <w:r>
        <w:rPr>
          <w:i/>
          <w:color w:val="666666"/>
          <w:sz w:val="18"/>
        </w:rPr>
        <w:t>Järvinen O et al.  ·  Neurol Sci  ·  06.08.2026  ·  PMID 42560609</w:t>
      </w:r>
    </w:p>
    <w:p>
      <w:r>
        <w:t>Retrospektive Kohortenstudie mit Arzneimittelanalyse von 44 Patienten mit genetisch bestätigter mitochondrialer Erkrankung über 2010–2022; Überprüfung auf mitochondriale Toxizität und Wechselwirkungen.</w:t>
      </w:r>
    </w:p>
    <w:p>
      <w:r>
        <w:rPr>
          <w:b/>
        </w:rPr>
        <w:t xml:space="preserve">Ergebnis: </w:t>
      </w:r>
      <w:r>
        <w:t>~1.000 Medikamenteneinträge überprüft. Häufig verwendete Arzneien mit potentieller mitochondrialer Toxizität identifiziert: Metformin, Beta-Blocker, Statine, Ciprofloxacin, Fluoxetin, Ibuprofen, bestimmte Antiepileptika. Kontraindizierte Medikamente nicht beobachtet; keine Hochrisiko-Wechselwirkungen entdeckt. Klinisch relevant: häufige Analgetika-Nutzung. Schlussfolgerung: Weitere Forschung zu mitochondrialer Sicherheit mehrerer Medikamentenklassen erforderlich; Schmerzmanagement bei mitochondrialen Erkrankungen verdient erhöhte Aufmerksamkeit.</w:t>
      </w:r>
    </w:p>
    <w:p>
      <w:r>
        <w:rPr>
          <w:b/>
          <w:sz w:val="19"/>
        </w:rPr>
        <w:t xml:space="preserve">Übertragbarkeit: </w:t>
      </w:r>
      <w:r>
        <w:rPr>
          <w:sz w:val="19"/>
        </w:rPr>
        <w:t>Finnland, europäische Klinik, Medikamentensicherheit ist universell relevant, übertragbar</w:t>
      </w:r>
    </w:p>
    <w:p>
      <w:r>
        <w:rPr>
          <w:color w:val="5A7D3A"/>
          <w:sz w:val="18"/>
        </w:rPr>
        <w:t>https://pubmed.ncbi.nlm.nih.gov/42560609/</w:t>
      </w:r>
    </w:p>
    <w:p>
      <w:pPr>
        <w:pStyle w:val="Heading2"/>
      </w:pPr>
      <w:r>
        <w:t>Ärztliche und zahnärztliche Studierend sowie Assistenzärzte wenig vorbereitet auf Faktoren der Patientensicherheit</w:t>
      </w:r>
    </w:p>
    <w:p>
      <w:r>
        <w:rPr>
          <w:i/>
          <w:color w:val="666666"/>
          <w:sz w:val="18"/>
        </w:rPr>
        <w:t>Mattey L et al.  ·  Br J Oral Maxillofac Surg  ·  07.03.2026  ·  PMID 42552191</w:t>
      </w:r>
    </w:p>
    <w:p>
      <w:r>
        <w:t>Nationale Querschnittsstudie britischer Medizinstudierender und Assistenzärzte (n=1.274) zu Haltung, Wissen und Erfahrung bezüglich Patientensicherheit, Humanfaktoren und medikolegale Folgen von Fehlern; Vergleich mit Teilnehmern eines maßgeschneiderten Workshops.</w:t>
      </w:r>
    </w:p>
    <w:p>
      <w:r>
        <w:rPr>
          <w:b/>
        </w:rPr>
        <w:t xml:space="preserve">Ergebnis: </w:t>
      </w:r>
      <w:r>
        <w:t>942 Studierende (74,0 %), 332 Assistenzärzte (26,0 %). Häufigste Humanfaktoren: Zeitdruck (57,0 %), Müdigkeit (56,2 %), mangelhafte Übergaben (43,8 %). Bereitschaft zum Umgang mit Humanfaktoren (Median 3/5) und Selbstsicherheit zu Einspruch (Median 3/5) bei Absolventen von Regelschulen signifikant niedriger vs. Privatschule (adjustiertes OR 0,70, 95%-CI 0,57–0,87). 62,2 % fehlte rechtliche Orientierung zu Fehlerfolgen; fast Hälfte wusste nicht, wo Unterstützung zu suchen ist. Workshop-Teilnehmer (n=21) berichteten größere Bereitschaft und Selbstsicherheit bei Einspruch (p &lt; 0,001). Trotz häufigem Kontakt mit Sicherheitsfaktoren nur mäßig vorbereitet und unterstützt.</w:t>
      </w:r>
    </w:p>
    <w:p>
      <w:r>
        <w:rPr>
          <w:b/>
          <w:sz w:val="19"/>
        </w:rPr>
        <w:t xml:space="preserve">Übertragbarkeit: </w:t>
      </w:r>
      <w:r>
        <w:rPr>
          <w:sz w:val="19"/>
        </w:rPr>
        <w:t>Großbritannien, deutschsprachiges System hat ähnliche Lücken in Ausbildung von Medizinern</w:t>
      </w:r>
    </w:p>
    <w:p>
      <w:r>
        <w:rPr>
          <w:color w:val="5A7D3A"/>
          <w:sz w:val="18"/>
        </w:rPr>
        <w:t>https://pubmed.ncbi.nlm.nih.gov/42552191/</w:t>
      </w:r>
    </w:p>
    <w:p>
      <w:pPr>
        <w:pStyle w:val="Heading2"/>
      </w:pPr>
      <w:r>
        <w:t>MRSA-Screening aller Risikopatienten senkt Infektionen und Kosten in spanischen Kliniken</w:t>
      </w:r>
    </w:p>
    <w:p>
      <w:r>
        <w:rPr>
          <w:i/>
          <w:color w:val="666666"/>
          <w:sz w:val="18"/>
        </w:rPr>
        <w:t>Diaz-Brito V et al.  ·  J Med Econ  ·  16.07.2026  ·  PMID 42464566</w:t>
      </w:r>
    </w:p>
    <w:p>
      <w:r>
        <w:t>Modellbasierte Kostenfolgen-Analyse von MRSA-Screening bei Krankenhauspatienten mit hohem Risiko; Vergleich molekulares PCR-Screening versus Kultur versus aktuelle spanische Praxis (Kultur nur in Intensivstationen).</w:t>
      </w:r>
    </w:p>
    <w:p>
      <w:r>
        <w:rPr>
          <w:b/>
        </w:rPr>
        <w:t xml:space="preserve">Ergebnis: </w:t>
      </w:r>
      <w:r>
        <w:t>Molekulares PCR-Screening aller Hochrisikapatienten versus Kulturbasis: 7,4 mehr positive Tests, 4,3 mehr erfolgreiche Dekolo­nisierungen, 0,8 weniger MRSA-Infektionen, Kostenersparnis 748.971 € (−438,8 €/getesteter Patient). Versus aktuelle Praxis (nur Intensivstation): 113,3 mehr positive Tests, 12,6 weniger Infektionen, 3,4 weniger Todesfälle, Kosteneinsparung 272.118 € (−3.278 €/getesteter Patient). Screening mit PCR war kostensparender trotz höherer Testkosten.</w:t>
      </w:r>
    </w:p>
    <w:p>
      <w:r>
        <w:rPr>
          <w:b/>
          <w:sz w:val="19"/>
        </w:rPr>
        <w:t xml:space="preserve">Übertragbarkeit: </w:t>
      </w:r>
      <w:r>
        <w:rPr>
          <w:sz w:val="19"/>
        </w:rPr>
        <w:t>Spanien, vergleichbares Versicherungssystem mit Deutschland, unmittelbar anwendbar</w:t>
      </w:r>
    </w:p>
    <w:p>
      <w:r>
        <w:rPr>
          <w:color w:val="5A7D3A"/>
          <w:sz w:val="18"/>
        </w:rPr>
        <w:t>https://pubmed.ncbi.nlm.nih.gov/42464566/</w:t>
      </w:r>
    </w:p>
    <w:p>
      <w:pPr>
        <w:pStyle w:val="Heading2"/>
      </w:pPr>
      <w:r>
        <w:t>Serotoninsyndom bei Polypharmaka: Fentanyl und Tramadol als übersehene Risiken</w:t>
      </w:r>
    </w:p>
    <w:p>
      <w:r>
        <w:rPr>
          <w:i/>
          <w:color w:val="666666"/>
          <w:sz w:val="18"/>
        </w:rPr>
        <w:t>Blyzniuk B et al.  ·  Eur J Clin Pharmacol  ·  17.07.2026  ·  PMID 42463509</w:t>
      </w:r>
    </w:p>
    <w:p>
      <w:r>
        <w:t>Systematische Literaturübersicht mit Fallanalyse von 764 publizierten Serotoninsyndom-Fällen in Erwachsenen; Analyse von Medikamentenkombinationen und Outcomes zwischen Suizidversuch und Routinemedikation.</w:t>
      </w:r>
    </w:p>
    <w:p>
      <w:r>
        <w:rPr>
          <w:b/>
        </w:rPr>
        <w:t xml:space="preserve">Ergebnis: </w:t>
      </w:r>
      <w:r>
        <w:t>764 Fälle eingeschlossen; 653 (85,6 %) erfüllten Sternbach-, 496 (65,0 %) Hunter-Kriterien. Suizidvorsätze: 79,4 % Intensivstationen, 18,0 % Mortalität; Routinemedikation: 35,6 % Intensivstation, 5,1 % Mortalität (beide p &lt; 0,001). Von 645 Routinefällen 92,9 % Kombinationstherapie; Monotherapie mild, meist nach Start neuer Antidepressiva bei jüngeren Patienten. Netzwerk-Analyse: Trazodone am häufigsten verbundenes Antidepressivum; Fentanyl und Tramadol als zentrale Nicht-Antidepressiva-Knoten. Fünf Fälle nach Antipsychotika-Absetzen bei beibehaltenen Serotonergika.</w:t>
      </w:r>
    </w:p>
    <w:p>
      <w:r>
        <w:rPr>
          <w:b/>
          <w:sz w:val="19"/>
        </w:rPr>
        <w:t xml:space="preserve">Übertragbarkeit: </w:t>
      </w:r>
      <w:r>
        <w:rPr>
          <w:sz w:val="19"/>
        </w:rPr>
        <w:t>Schweiz, deutschsprachig, vergleichbare Polypharmaka-Probleme im europäischen Gesundheitswesen</w:t>
      </w:r>
    </w:p>
    <w:p>
      <w:r>
        <w:rPr>
          <w:color w:val="5A7D3A"/>
          <w:sz w:val="18"/>
        </w:rPr>
        <w:t>https://pubmed.ncbi.nlm.nih.gov/42463509/</w:t>
      </w:r>
    </w:p>
    <w:p>
      <w:pPr>
        <w:pStyle w:val="Heading1"/>
      </w:pPr>
      <w:r>
        <w:t>Aufgenommen am 09.09.2026</w:t>
      </w:r>
    </w:p>
    <w:p>
      <w:pPr>
        <w:pStyle w:val="Heading2"/>
      </w:pPr>
      <w:r>
        <w:t>85% der Schlafstudien melden Nebenwirkungen inkonsistent: Registry-Publikations-Diskordanz gefährdet Patientensicherheit</w:t>
      </w:r>
    </w:p>
    <w:p>
      <w:r>
        <w:rPr>
          <w:i/>
          <w:color w:val="666666"/>
          <w:sz w:val="18"/>
        </w:rPr>
        <w:t>Lackey M et al.  ·  BMJ Open  ·  08.09.2026  ·  PMID 42711075</w:t>
      </w:r>
    </w:p>
    <w:p>
      <w:r>
        <w:t>Querschnitt 168 Schlafstudien: Vergleich Nebenwirkungsmelderaten ClinicalTrials.gov versus peer-review-Publikationen; Ursachen und Lokalisierung der Meldungen analysiert.</w:t>
      </w:r>
    </w:p>
    <w:p>
      <w:r>
        <w:rPr>
          <w:b/>
        </w:rPr>
        <w:t xml:space="preserve">Ergebnis: </w:t>
      </w:r>
      <w:r>
        <w:t>143/168 (85,1%) mit Diskrepanzen schwerwiegender Ereignisse; Patient-Zahlen-Varianz 73,2%; 35,1% ohne Nebenwirkungsdaten. Post-Final-Rule-Studien bessere Registry-Meldung, aber Diskordanz persistiert. 17% Sterblichkeitsunterschätzung möglich.</w:t>
      </w:r>
    </w:p>
    <w:p>
      <w:r>
        <w:rPr>
          <w:b/>
          <w:sz w:val="19"/>
        </w:rPr>
        <w:t xml:space="preserve">Übertragbarkeit: </w:t>
      </w:r>
      <w:r>
        <w:rPr>
          <w:sz w:val="19"/>
        </w:rPr>
        <w:t>USA (Trial-Registry), Publikationsbias; Befund (Reporting-Lücken) auf deutsches Register-Publikations-Gap übertragbar</w:t>
      </w:r>
    </w:p>
    <w:p>
      <w:r>
        <w:rPr>
          <w:color w:val="5A7D3A"/>
          <w:sz w:val="18"/>
        </w:rPr>
        <w:t>https://pubmed.ncbi.nlm.nih.gov/42711075/</w:t>
      </w:r>
    </w:p>
    <w:p>
      <w:pPr>
        <w:pStyle w:val="Heading2"/>
      </w:pPr>
      <w:r>
        <w:t>Rekapillarisierungszeit bei akuter Entzündung: bettseitiger Test allein nicht sepsistauglich</w:t>
      </w:r>
    </w:p>
    <w:p>
      <w:r>
        <w:rPr>
          <w:i/>
          <w:color w:val="666666"/>
          <w:sz w:val="18"/>
        </w:rPr>
        <w:t>Gustavsson H et al.  ·  Crit Care  ·  31.08.2026  ·  PMID 42706575</w:t>
      </w:r>
    </w:p>
    <w:p>
      <w:r>
        <w:t>Prospektives humanes Endotoxämie-Modell (n=25): Die quantitativ gemessene Rekapillarisierungszeit (qCRT) durchlief unter LPS-induzierter systemischer Entzündung einen zweiphasigen Verlauf und überschritt den klinischen Schwellenwert von drei Sekunden in beide Richtungen.</w:t>
      </w:r>
    </w:p>
    <w:p>
      <w:r>
        <w:rPr>
          <w:b/>
        </w:rPr>
        <w:t xml:space="preserve">Ergebnis: </w:t>
      </w:r>
      <w:r>
        <w:t>Die qCRT stieg von etwa 3,5 s zu Beginn auf 8,31 s nach 1,5 Stunden (bei 14 von 25 Probanden wurde die Messobergrenze von 10 s erreicht) und fiel nach 5 Stunden auf 1,27 s. Die Streuung zwischen den Probanden war gering (ICC 0,30); den größten Anteil an der Varianz erklärte die Hauttemperatur. Ein einzelner fester Schwellenwert ist damit nicht verlässlich; die wiederholte Messung am selben Patienten sagt mehr aus als ein Populationsgrenzwert.</w:t>
      </w:r>
    </w:p>
    <w:p>
      <w:r>
        <w:rPr>
          <w:b/>
          <w:sz w:val="19"/>
        </w:rPr>
        <w:t xml:space="preserve">Übertragbarkeit: </w:t>
      </w:r>
      <w:r>
        <w:rPr>
          <w:sz w:val="19"/>
        </w:rPr>
        <w:t>Schweden (Uppsala), physiologische Validierung; Übertragbarkeit auf Sepsisverdacht in Notaufnahmen begrenzt ohne prospektive Patientenstudien</w:t>
      </w:r>
    </w:p>
    <w:p>
      <w:r>
        <w:rPr>
          <w:color w:val="5A7D3A"/>
          <w:sz w:val="18"/>
        </w:rPr>
        <w:t>https://pubmed.ncbi.nlm.nih.gov/42706575/</w:t>
      </w:r>
    </w:p>
    <w:p>
      <w:pPr>
        <w:pStyle w:val="Heading2"/>
      </w:pPr>
      <w:r>
        <w:t>Elektronische Dosierungskorrekturen für DOAC bei älteren Frauen: Benachrichtigungen erreichen nur 33% der Therapieänderungen bei Hochrisiko-Patienten</w:t>
      </w:r>
    </w:p>
    <w:p>
      <w:r>
        <w:rPr>
          <w:i/>
          <w:color w:val="666666"/>
          <w:sz w:val="18"/>
        </w:rPr>
        <w:t>Saraswat A et al.  ·  Res Pract Thromb Haemost  ·  06.08.2026  ·  PMID 42699097</w:t>
      </w:r>
    </w:p>
    <w:p>
      <w:r>
        <w:t>USA, Michigan: Evaluation elektronischer Benachrichtigungen zu DOAC-Dosierungsfehlern; 32,7% führten zu Dosisanpassung; Gründe für Nichtbefolgung dokumentiert.</w:t>
      </w:r>
    </w:p>
    <w:p>
      <w:r>
        <w:rPr>
          <w:b/>
        </w:rPr>
        <w:t xml:space="preserve">Ergebnis: </w:t>
      </w:r>
      <w:r>
        <w:t>Apixaban-Fehler zu 87,8% bei ≥80 Jahren. Dosisreduktion 52% Änderungsquote, Dosiserhöhung nur 16,8% (p&lt;0,001). Originale Verschreiber dokumentierten Ablehnungsgründe in 46,1%, Pharmazeuten in 90,5%. Nierenrückgang, Gewicht, Blutungsrisiko häufigste Ablehnungsgründe.</w:t>
      </w:r>
    </w:p>
    <w:p>
      <w:r>
        <w:rPr>
          <w:b/>
          <w:sz w:val="19"/>
        </w:rPr>
        <w:t xml:space="preserve">Übertragbarkeit: </w:t>
      </w:r>
      <w:r>
        <w:rPr>
          <w:sz w:val="19"/>
        </w:rPr>
        <w:t>USA (Haftungsklima anders), aber Fehlererkennungssystem auf deutsches QM-System übertragbar</w:t>
      </w:r>
    </w:p>
    <w:p>
      <w:r>
        <w:rPr>
          <w:color w:val="5A7D3A"/>
          <w:sz w:val="18"/>
        </w:rPr>
        <w:t>https://pubmed.ncbi.nlm.nih.gov/42699097/</w:t>
      </w:r>
    </w:p>
    <w:p>
      <w:pPr>
        <w:pStyle w:val="Heading2"/>
      </w:pPr>
      <w:r>
        <w:t>Infektionen unter MS-Therapie: italienisches Register zeigt Nutzen von Echtdaten-Vigilanz trotz methodischer Grenzen</w:t>
      </w:r>
    </w:p>
    <w:p>
      <w:r>
        <w:rPr>
          <w:i/>
          <w:color w:val="666666"/>
          <w:sz w:val="18"/>
        </w:rPr>
        <w:t>Salivetto M et al.  ·  Pharmacoepidemiol Drug Saf  ·  Aug. 2026  ·  PMID 42528095</w:t>
      </w:r>
    </w:p>
    <w:p>
      <w:r>
        <w:t>Italienisches MS-Register (RISM) 2016–2025: 24.259 Patienten mit krankheitsmodifizierender Therapie, 4.419 (18,2%) mit Klinischen Ereignissen; Infektionen 29,4%, Malignität 3,7%; prospektive Datenqualitätskontrolle implementiert.</w:t>
      </w:r>
    </w:p>
    <w:p>
      <w:r>
        <w:rPr>
          <w:b/>
        </w:rPr>
        <w:t xml:space="preserve">Ergebnis: </w:t>
      </w:r>
      <w:r>
        <w:t>Bei 24.259 Therapieinitiationen 18,2% mit dokumentiertem Ereignis; Infektionsanteil 29,4% aller Events. Stärken: umfassendes Langzeit-Tracking, Patientenperspektive. Grenzen: methodische Herausforderungen bei Sekundärdaten, Meldepflichten variabel, nationale Transferbarkeit eingeschränkt.</w:t>
      </w:r>
    </w:p>
    <w:p>
      <w:r>
        <w:rPr>
          <w:b/>
          <w:sz w:val="19"/>
        </w:rPr>
        <w:t xml:space="preserve">Übertragbarkeit: </w:t>
      </w:r>
      <w:r>
        <w:rPr>
          <w:sz w:val="19"/>
        </w:rPr>
        <w:t>Italien (vergleichbares EU-Melderecht), kohortales Design; Struktur relevant für deutsches Klinik-Pharmakovigilance-Register</w:t>
      </w:r>
    </w:p>
    <w:p>
      <w:r>
        <w:rPr>
          <w:color w:val="5A7D3A"/>
          <w:sz w:val="18"/>
        </w:rPr>
        <w:t>https://pubmed.ncbi.nlm.nih.gov/42528095/</w:t>
      </w:r>
    </w:p>
    <w:p>
      <w:pPr>
        <w:pStyle w:val="Heading2"/>
      </w:pPr>
      <w:r>
        <w:t>Lamotrigin erhöht SJS/TEN-Risiko 173fach: dänische Inzidenzkohorte quantifiziert Arzneimittelschaden bei Antikonvulsiva</w:t>
      </w:r>
    </w:p>
    <w:p>
      <w:r>
        <w:rPr>
          <w:i/>
          <w:color w:val="666666"/>
          <w:sz w:val="18"/>
        </w:rPr>
        <w:t>Heerfordt IM et al.  ·  Neurology  ·  11.08.2026  ·  PMID 42467870</w:t>
      </w:r>
    </w:p>
    <w:p>
      <w:r>
        <w:t>Dänische Bevölkerungskohorte 1995–2024: 1.388.397 Antikonvulsiva-Initiationen, 83 SJS/TEN-Fälle in 90 Tagen; Mortalität 17%, Ereignisse konzentriert auf erste Wochen.</w:t>
      </w:r>
    </w:p>
    <w:p>
      <w:r>
        <w:rPr>
          <w:b/>
        </w:rPr>
        <w:t xml:space="preserve">Ergebnis: </w:t>
      </w:r>
      <w:r>
        <w:t>Lamotrigin 29,31/100.000 (95% KI 21,46–39,09); Carbamazepin 16,66 (8,32–29,80); Phenobarbital 15,84; Oxcarbazepin 11,25; Valproat 7,31/100.000. Gabapentinoide deutlich niedriger (Pregabalin 2,26, Gabapentin 1,24). Hintergrund 0,17/100.000. 7% aller SJS/TEN-Fälle Dänemarks antikonvulsiva-assoziiert.</w:t>
      </w:r>
    </w:p>
    <w:p>
      <w:r>
        <w:rPr>
          <w:b/>
          <w:sz w:val="19"/>
        </w:rPr>
        <w:t xml:space="preserve">Übertragbarkeit: </w:t>
      </w:r>
      <w:r>
        <w:rPr>
          <w:sz w:val="19"/>
        </w:rPr>
        <w:t>Dänemark (Melderegister), Inzidenzkohorte; europäische Baseline für Vergleichbarkeit mit deutschem Arzneimittelrisiko</w:t>
      </w:r>
    </w:p>
    <w:p>
      <w:r>
        <w:rPr>
          <w:color w:val="5A7D3A"/>
          <w:sz w:val="18"/>
        </w:rPr>
        <w:t>https://pubmed.ncbi.nlm.nih.gov/42467870/</w:t>
      </w:r>
    </w:p>
    <w:p>
      <w:pPr>
        <w:pStyle w:val="Heading2"/>
      </w:pPr>
      <w:r>
        <w:t>Automatisierte nosokomiale Sepsis-Erfassung über Laborresistenzdaten machbar: niederländisches Pilotierungsprojekt zeigt Machbarkeit mit Grenzen</w:t>
      </w:r>
    </w:p>
    <w:p>
      <w:r>
        <w:rPr>
          <w:i/>
          <w:color w:val="666666"/>
          <w:sz w:val="18"/>
        </w:rPr>
        <w:t>Brekelmans M et al.  ·  Euro Surveill  ·  Juli 2026  ·  PMID 42464816</w:t>
      </w:r>
    </w:p>
    <w:p>
      <w:r>
        <w:t>Niederlande 2018–2023: automated surveillance von hospital-onset bacteraemia/fungaemia (HOB) mittels nationales Resistenz-Surveillance-System (ISIS-AR); Feasibility-Evaluation an vier Kliniken mit outcome validation.</w:t>
      </w:r>
    </w:p>
    <w:p>
      <w:r>
        <w:rPr>
          <w:b/>
        </w:rPr>
        <w:t xml:space="preserve">Ergebnis: </w:t>
      </w:r>
      <w:r>
        <w:t>Ältere Parameter &gt;80% dokumentiert; Aufnahmetermin nur in 14/105 Kliniken. Outcome-Validierung: sichere HOB-Identifikation bei Nicht-Kommensalen, variable Sensitivität bei Kommensalen (Laborpolitik-abhängig). Interviewpartner sehen Wert auf Hospitalebene und Benchmarking; nationale Trend-Überwachung unklar.</w:t>
      </w:r>
    </w:p>
    <w:p>
      <w:r>
        <w:rPr>
          <w:b/>
          <w:sz w:val="19"/>
        </w:rPr>
        <w:t xml:space="preserve">Übertragbarkeit: </w:t>
      </w:r>
      <w:r>
        <w:rPr>
          <w:sz w:val="19"/>
        </w:rPr>
        <w:t>Niederlande (vergleichbares Versicherungs- und Meldewesen), Sekundärdaten-Nutzung; direkter Transfer auf deutsches Surveillancesystem möglich</w:t>
      </w:r>
    </w:p>
    <w:p>
      <w:r>
        <w:rPr>
          <w:color w:val="5A7D3A"/>
          <w:sz w:val="18"/>
        </w:rPr>
        <w:t>https://pubmed.ncbi.nlm.nih.gov/42464816/</w:t>
      </w:r>
    </w:p>
    <w:p>
      <w:pPr>
        <w:pStyle w:val="Heading1"/>
      </w:pPr>
      <w:r>
        <w:t>Aufgenommen am 08.09.2026</w:t>
      </w:r>
    </w:p>
    <w:p>
      <w:pPr>
        <w:pStyle w:val="Heading2"/>
      </w:pPr>
      <w:r>
        <w:t>Prospektive Verschreibungsprüfung senkte irrationale Verordnungen um 1,56 Prozentpunkte; Intervention mit Modus bestimmt Erfolg</w:t>
      </w:r>
    </w:p>
    <w:p>
      <w:r>
        <w:rPr>
          <w:i/>
          <w:color w:val="666666"/>
          <w:sz w:val="18"/>
        </w:rPr>
        <w:t>Tang F et al.  ·  JMIR Form Res  ·  27.08.2026  ·  PMID 42704205</w:t>
      </w:r>
    </w:p>
    <w:p>
      <w:r>
        <w:t>Retrospektive Kohortenstudie an Augenklinik in Shanghai mit 2.559.342 ambulanten/Notfall-Rezepten 2024: Evaluation eines prospektiven Verschreibungsprüf-Systems zur Reduktion irrationaler Verordnungen; primäres Outcome: Quote erfolgreich interceptierter Rezepte nach Prüfmodus (Erinnerung, Warnung, obligatorisch).</w:t>
      </w:r>
    </w:p>
    <w:p>
      <w:r>
        <w:rPr>
          <w:b/>
        </w:rPr>
        <w:t xml:space="preserve">Ergebnis: </w:t>
      </w:r>
      <w:r>
        <w:t>Gesamt-Interceptionsquote 32,99 % (40.877/123.914 irrationaler Rezepte). Rezept-Rationalitätsrate stieg von 95,23 % auf 96,79 % nach Ausschluss interceptierter Rezepte (p &lt; 0,001). Obligatorischer Prüfmodus höchste Quote (96,91 %), Erinnerung niedrigste (0,99 %). Pharmakisten-Mitarbeit steigerte Erfolg auf 85,63 %.</w:t>
      </w:r>
    </w:p>
    <w:p>
      <w:r>
        <w:rPr>
          <w:b/>
          <w:sz w:val="19"/>
        </w:rPr>
        <w:t xml:space="preserve">Übertragbarkeit: </w:t>
      </w:r>
      <w:r>
        <w:rPr>
          <w:sz w:val="19"/>
        </w:rPr>
        <w:t>China, aber Designprinzip (prospektive Überprüfung vor Dispensierung) auch im deutschen Apotheken-Standard etabliert</w:t>
      </w:r>
    </w:p>
    <w:p>
      <w:r>
        <w:rPr>
          <w:color w:val="5A7D3A"/>
          <w:sz w:val="18"/>
        </w:rPr>
        <w:t>https://pubmed.ncbi.nlm.nih.gov/42704205/</w:t>
      </w:r>
    </w:p>
    <w:p>
      <w:pPr>
        <w:pStyle w:val="Heading2"/>
      </w:pPr>
      <w:r>
        <w:t>Frühere Knie- und Schulter-Arthroskopie erhöhen Infektionsrisiko nach Endoprothese, Hüfte nicht</w:t>
      </w:r>
    </w:p>
    <w:p>
      <w:r>
        <w:rPr>
          <w:i/>
          <w:color w:val="666666"/>
          <w:sz w:val="18"/>
        </w:rPr>
        <w:t>Liu H et al.  ·  J Invest Surg  ·  07.09.2026  ·  PMID 42704073</w:t>
      </w:r>
    </w:p>
    <w:p>
      <w:r>
        <w:t>Meta-Analyse von 31 Beobachtungsstudien: Odds Ratios für nosokomiale Infektionen nach Knie-, Hüft- und Schulter-Endoprothesen in Abhängigkeit von vorausgegangener Arthroskopie desselben oder anderer Gelenke.</w:t>
      </w:r>
    </w:p>
    <w:p>
      <w:r>
        <w:rPr>
          <w:b/>
        </w:rPr>
        <w:t xml:space="preserve">Ergebnis: </w:t>
      </w:r>
      <w:r>
        <w:t>Frühere Knie-Arthroskopie: erhöhtes Infektionsrisiko (OR 1,33, 95%-KI 1,14–1,56); frühere Schulter-Arthroskopie: erhöhtes Risiko für Tiefinfektionen (OR erhöht); frühere Hüft-Arthroskopie: kein signifikanter Zusammenhang. Gepoolte Gesamtinfektionsrate 2 %. Jointspecific Risk-Stratifikation erforderlich.</w:t>
      </w:r>
    </w:p>
    <w:p>
      <w:r>
        <w:rPr>
          <w:b/>
          <w:sz w:val="19"/>
        </w:rPr>
        <w:t xml:space="preserve">Übertragbarkeit: </w:t>
      </w:r>
      <w:r>
        <w:rPr>
          <w:sz w:val="19"/>
        </w:rPr>
        <w:t>Internationale Metaanalyse, Ergebnisse auf deutsches Trauma/Orthopädie-System übertragbar</w:t>
      </w:r>
    </w:p>
    <w:p>
      <w:r>
        <w:rPr>
          <w:color w:val="5A7D3A"/>
          <w:sz w:val="18"/>
        </w:rPr>
        <w:t>https://pubmed.ncbi.nlm.nih.gov/42704073/</w:t>
      </w:r>
    </w:p>
    <w:p>
      <w:pPr>
        <w:pStyle w:val="Heading2"/>
      </w:pPr>
      <w:r>
        <w:t>Chirurgische Wundinfektionen: Surveillance, Audit und perioperative Maßnahmen-Bundle zur Prävention</w:t>
      </w:r>
    </w:p>
    <w:p>
      <w:r>
        <w:rPr>
          <w:i/>
          <w:color w:val="666666"/>
          <w:sz w:val="18"/>
        </w:rPr>
        <w:t>Ambrosie L et al.  ·  Chirurgia (Bucur)  ·  Juli 2026  ·  PMID 42703985</w:t>
      </w:r>
    </w:p>
    <w:p>
      <w:r>
        <w:t>Strukturierte Narrativ-Review zur nosokomialen Infektionsprävention in der Allgemeinchirurgie: kritische Analyse von Definitionen, Surveillance, Audit, Antibiotika-Resistenz und perioperativer Vorbeugung mit Fokus auf Chirurgische Wundinfektionen (SSI) – mit Maßnahmen-Bundle und Audit-Dashboard.</w:t>
      </w:r>
    </w:p>
    <w:p>
      <w:r>
        <w:rPr>
          <w:b/>
        </w:rPr>
        <w:t xml:space="preserve">Ergebnis: </w:t>
      </w:r>
      <w:r>
        <w:t>Empfehlungsgrundlagen: korrekte Antibiotika-Prophylaxe, alkoholhaltige Hautdesinfektion, Vermeidung intraoperativer Hypothermie, aseptische Praxis, Stewardship und Post-Entlassung-Fallermittlung sind konsistent durch Evidenz gestützt. Bundles können SSI reduzieren, aber Effekt hängt von Adhärenz und Kontext ab; größere Bundles nicht automatisch wirksamer.</w:t>
      </w:r>
    </w:p>
    <w:p>
      <w:r>
        <w:rPr>
          <w:b/>
          <w:sz w:val="19"/>
        </w:rPr>
        <w:t xml:space="preserve">Übertragbarkeit: </w:t>
      </w:r>
      <w:r>
        <w:rPr>
          <w:sz w:val="19"/>
        </w:rPr>
        <w:t>Rumänien, europäischer Ansatz zu SSI-Prävention, KRINKO-kompatibel</w:t>
      </w:r>
    </w:p>
    <w:p>
      <w:r>
        <w:rPr>
          <w:color w:val="5A7D3A"/>
          <w:sz w:val="18"/>
        </w:rPr>
        <w:t>https://pubmed.ncbi.nlm.nih.gov/42703985/</w:t>
      </w:r>
    </w:p>
    <w:p>
      <w:pPr>
        <w:pStyle w:val="Heading2"/>
      </w:pPr>
      <w:r>
        <w:t>Standardmaßnahmen ohne Isolierung reduzierten ESBL-E-Infektionen ähnlich wie Isolierung – non-inferiority-Design zur Versorgungsoptimierung</w:t>
      </w:r>
    </w:p>
    <w:p>
      <w:r>
        <w:rPr>
          <w:i/>
          <w:color w:val="666666"/>
          <w:sz w:val="18"/>
        </w:rPr>
        <w:t>Ezzi O et al.  ·  PLoS One  ·  21.07.2026  ·  PMID 42479741</w:t>
      </w:r>
    </w:p>
    <w:p>
      <w:r>
        <w:t>Prospektiver Interventionsstudie in französischen geriatrischen Stationen: Vergleich Standard Precautions (SP) ohne Isolierung gegen Isolierung nur bei klinisch erkannten ESBL-E-Infektionen. Primärausgang: Inzidenzrate neuer ESBL-E-Akquisitionen pro 1.000 Patiententage.</w:t>
      </w:r>
    </w:p>
    <w:p>
      <w:r>
        <w:rPr>
          <w:b/>
        </w:rPr>
        <w:t xml:space="preserve">Ergebnis: </w:t>
      </w:r>
      <w:r>
        <w:t>Studienprotokoll mit Studiendesign (crossover mit alternierenden Perioden, 4-Jahres-Laufzeit). Ziel: Non-Inferiority von SP zu zeigen. Ergebnis noch nicht vorgelegen, aber Design adressiert das versorgungskritische Problem unnötiger Isolierungen bei stabiler Epidemiologie.</w:t>
      </w:r>
    </w:p>
    <w:p>
      <w:r>
        <w:rPr>
          <w:b/>
          <w:sz w:val="19"/>
        </w:rPr>
        <w:t xml:space="preserve">Übertragbarkeit: </w:t>
      </w:r>
      <w:r>
        <w:rPr>
          <w:sz w:val="19"/>
        </w:rPr>
        <w:t>Frankreich, vergleichbar mit DACH-Systemen, Infektionsschutz-Standard</w:t>
      </w:r>
    </w:p>
    <w:p>
      <w:r>
        <w:rPr>
          <w:color w:val="5A7D3A"/>
          <w:sz w:val="18"/>
        </w:rPr>
        <w:t>https://pubmed.ncbi.nlm.nih.gov/42479741/</w:t>
      </w:r>
    </w:p>
    <w:p>
      <w:pPr>
        <w:pStyle w:val="Heading2"/>
      </w:pPr>
      <w:r>
        <w:t>Spanische Validierung der Hospital Survey on Patient Safety Culture v2: robust messbare Sicherheitskultur in 4 Krankenhäusern</w:t>
      </w:r>
    </w:p>
    <w:p>
      <w:r>
        <w:rPr>
          <w:i/>
          <w:color w:val="666666"/>
          <w:sz w:val="18"/>
        </w:rPr>
        <w:t>Lopez-Picazo JJ et al.  ·  J Eval Clin Pract  ·  Aug. 2026  ·  PMID 42472383</w:t>
      </w:r>
    </w:p>
    <w:p>
      <w:r>
        <w:t>Querschnittliche Validierungsstudie in 4 spanischen Krankenhäusern mit 369 Fachpersonen zur psychometrischen Anpassung der HSOPS v2 ins Spanische: Confirmatory Factor Analysis mit WLSMV-Schätzer, Messung von Reliabilität, konvergenter und diskriminanter Validität.</w:t>
      </w:r>
    </w:p>
    <w:p>
      <w:r>
        <w:rPr>
          <w:b/>
        </w:rPr>
        <w:t xml:space="preserve">Ergebnis: </w:t>
      </w:r>
      <w:r>
        <w:t>10-Faktor-Modell mit zufriedenstellenden Fit-Indizes (CFI, TLI &gt; 0,90; RMSEA &lt; 0,06; SRMR &lt; 0,08). Cronbach α und composite reliability &gt; 0,70 in 8 von 10 Dimensionen. Diskriminanzvalidität unterstützt. Spanische HSOPS v2 zur Sicherheitskultur-Messung geeignet.</w:t>
      </w:r>
    </w:p>
    <w:p>
      <w:r>
        <w:rPr>
          <w:b/>
          <w:sz w:val="19"/>
        </w:rPr>
        <w:t xml:space="preserve">Übertragbarkeit: </w:t>
      </w:r>
      <w:r>
        <w:rPr>
          <w:sz w:val="19"/>
        </w:rPr>
        <w:t>Spanien, vergleichbar mit deutschem Ansatz zur Sicherheitskultur-Erfassung</w:t>
      </w:r>
    </w:p>
    <w:p>
      <w:r>
        <w:rPr>
          <w:color w:val="5A7D3A"/>
          <w:sz w:val="18"/>
        </w:rPr>
        <w:t>https://pubmed.ncbi.nlm.nih.gov/42472383/</w:t>
      </w:r>
    </w:p>
    <w:p>
      <w:pPr>
        <w:pStyle w:val="Heading2"/>
      </w:pPr>
      <w:r>
        <w:t>Klinische Entscheidungsfindung bei Verdacht auf maternale Sepsis: Überbehandlung mit Breitspektrumantibiotika um 21 % vermeidet Todesfälle, aber Stewardship scheitert</w:t>
      </w:r>
    </w:p>
    <w:p>
      <w:r>
        <w:rPr>
          <w:i/>
          <w:color w:val="666666"/>
          <w:sz w:val="18"/>
        </w:rPr>
        <w:t>Kingdon C et al.  ·  BMJ Open  ·  17.07.2026  ·  PMID 42468961</w:t>
      </w:r>
    </w:p>
    <w:p>
      <w:r>
        <w:t>Qualitative Studie mit 24 UK-Klinikern (Geburtshelfer, Anästhesisten, Hebammen) zur Entscheidungsfindung bei Verdacht auf maternale Sepsis in der Geburtshilfe: Sie zeigt, dass 21 von 24 Klinikern Überbehandlung als Problem erachten, aber Angst vor Sepsismissdiagnose die Antibiotic Stewardship überlagert.</w:t>
      </w:r>
    </w:p>
    <w:p>
      <w:r>
        <w:rPr>
          <w:b/>
        </w:rPr>
        <w:t xml:space="preserve">Ergebnis: </w:t>
      </w:r>
      <w:r>
        <w:t>21 von 24 Klinikern (87,5 %) bestätigten Überbehandlung als Problem; Angst vor Sepsismissdiagnose dominiert klinische Entscheidungen. Bessere Point-of-Care-Diagnostik und Leitlinien-Anpassungen sind erforderlich – ohne diese bleibt Overtreatment unvermeidlich.</w:t>
      </w:r>
    </w:p>
    <w:p>
      <w:r>
        <w:rPr>
          <w:b/>
          <w:sz w:val="19"/>
        </w:rPr>
        <w:t xml:space="preserve">Übertragbarkeit: </w:t>
      </w:r>
      <w:r>
        <w:rPr>
          <w:sz w:val="19"/>
        </w:rPr>
        <w:t>UK-NHS, vergleichbar mit deutschem Versorgungsauftrag, aber anderes Melderecht</w:t>
      </w:r>
    </w:p>
    <w:p>
      <w:r>
        <w:rPr>
          <w:color w:val="5A7D3A"/>
          <w:sz w:val="18"/>
        </w:rPr>
        <w:t>https://pubmed.ncbi.nlm.nih.gov/42468961/</w:t>
      </w:r>
    </w:p>
    <w:p>
      <w:pPr>
        <w:pStyle w:val="Heading1"/>
      </w:pPr>
      <w:r>
        <w:t>Aufgenommen am 07.09.2026</w:t>
      </w:r>
    </w:p>
    <w:p>
      <w:pPr>
        <w:pStyle w:val="Heading2"/>
      </w:pPr>
      <w:r>
        <w:t>Antibiotic Stewardship in Lombardy: Access-Watch-Reserve Quoten bleiben unter WHO-Ziel</w:t>
      </w:r>
    </w:p>
    <w:p>
      <w:r>
        <w:rPr>
          <w:i/>
          <w:color w:val="666666"/>
          <w:sz w:val="18"/>
        </w:rPr>
        <w:t>Augello M et al.  ·  J Antimicrob Chemother  ·  01.09.2026  ·  PMID 42702569</w:t>
      </w:r>
    </w:p>
    <w:p>
      <w:r>
        <w:t>Regionale administrative Daten zum stationären Antibiotikahaubrauch in der Lombardei 2017–2024, stratifiziert nach Stationstyp und Pandemie-Phasen.</w:t>
      </w:r>
    </w:p>
    <w:p>
      <w:r>
        <w:rPr>
          <w:b/>
        </w:rPr>
        <w:t xml:space="preserve">Ergebnis: </w:t>
      </w:r>
      <w:r>
        <w:t>Trotz Anstieg von Access-Antibiotika erreichte die Region die WHO-Zielquote (≥60%) nicht; Watch-Antibiotika nahmen ab, Reserve-Antibiotika stiegen besorgniserregend an (p&lt;0,05). Systemische Lücke in der Antibiotikaauswahl als Versorgungsproblem.</w:t>
      </w:r>
    </w:p>
    <w:p>
      <w:r>
        <w:rPr>
          <w:b/>
          <w:sz w:val="19"/>
        </w:rPr>
        <w:t xml:space="preserve">Übertragbarkeit: </w:t>
      </w:r>
      <w:r>
        <w:rPr>
          <w:sz w:val="19"/>
        </w:rPr>
        <w:t>Italien, vergleichbare EU-Dokumentationspflichten, systematisch untersuchte Fehlerquelle</w:t>
      </w:r>
    </w:p>
    <w:p>
      <w:r>
        <w:rPr>
          <w:color w:val="5A7D3A"/>
          <w:sz w:val="18"/>
        </w:rPr>
        <w:t>https://pubmed.ncbi.nlm.nih.gov/42702569/</w:t>
      </w:r>
    </w:p>
    <w:p>
      <w:pPr>
        <w:pStyle w:val="Heading2"/>
      </w:pPr>
      <w:r>
        <w:t>Klinischer Pharmazeut senkt Antibiotika-Dosierungsfehler bei Bacteriämie um Sechsfaches</w:t>
      </w:r>
    </w:p>
    <w:p>
      <w:r>
        <w:rPr>
          <w:i/>
          <w:color w:val="666666"/>
          <w:sz w:val="18"/>
        </w:rPr>
        <w:t>Givon Cohen Y et al.  ·  Isr Med Assoc J  ·  Sept. 2026  ·  PMID 42701840</w:t>
      </w:r>
    </w:p>
    <w:p>
      <w:r>
        <w:t>Vorher-Nachher-Studie: 170 Patienten mit Bacteriämie unter Pharmazeuten-Intervention (Juli 2018–Juni 2019) vs. 173 Kontrollen; Outcome: Angemessenheit von Antibiotikaauswahl und Dosierung.</w:t>
      </w:r>
    </w:p>
    <w:p>
      <w:r>
        <w:rPr>
          <w:b/>
        </w:rPr>
        <w:t xml:space="preserve">Ergebnis: </w:t>
      </w:r>
      <w:r>
        <w:t>Angepasste Dosierung stieg von 91,3% auf 97,6% (p=0,011); pathogengerechte Auswahl von 95,4% auf 100% (p=0,007). Odds Ratio für angemessene Behandlung 5,00 (95%-KI 1,64–15,25). 7-Tage-Rezidiv sank von 8,7% auf 2,4% (p=0,010).</w:t>
      </w:r>
    </w:p>
    <w:p>
      <w:r>
        <w:rPr>
          <w:b/>
          <w:sz w:val="19"/>
        </w:rPr>
        <w:t xml:space="preserve">Übertragbarkeit: </w:t>
      </w:r>
      <w:r>
        <w:rPr>
          <w:sz w:val="19"/>
        </w:rPr>
        <w:t>Israel, sozialversichertes Gesundheitssystem, Antibiotic-Stewardship-Modell funktioniert</w:t>
      </w:r>
    </w:p>
    <w:p>
      <w:r>
        <w:rPr>
          <w:color w:val="5A7D3A"/>
          <w:sz w:val="18"/>
        </w:rPr>
        <w:t>https://pubmed.ncbi.nlm.nih.gov/42701840/</w:t>
      </w:r>
    </w:p>
    <w:p>
      <w:pPr>
        <w:pStyle w:val="Heading2"/>
      </w:pPr>
      <w:r>
        <w:t>Organisationale Bindung stärkt Infektionsprävention über Arbeitszufriedenheit</w:t>
      </w:r>
    </w:p>
    <w:p>
      <w:r>
        <w:rPr>
          <w:i/>
          <w:color w:val="666666"/>
          <w:sz w:val="18"/>
        </w:rPr>
        <w:t>Wang L et al.  ·  Front Public Health  ·  21.08.2026  ·  PMID 42698679</w:t>
      </w:r>
    </w:p>
    <w:p>
      <w:r>
        <w:t>Querschnittsstudie mit 394 Fachkräften der Infektionsprävention aus 231 Krankenhäusern in Hubei, China; Strukturgleichungsmodell zur Untersuchung von organisationaler Bindung, Arbeitszufriedenheit und Umsetzung von Hygienemaßnahmen.</w:t>
      </w:r>
    </w:p>
    <w:p>
      <w:r>
        <w:rPr>
          <w:b/>
        </w:rPr>
        <w:t xml:space="preserve">Ergebnis: </w:t>
      </w:r>
      <w:r>
        <w:t>Organisationale Bindung wirkte positiv auf Hygiene-Umsetzung (β=0,556, p&lt;0,001). Arbeitszufriedenheit mediierte die Assoziation (β=0,193, 95%-KI 0,094–0,295) und erklärte 25,78% der Gesamtwirkung. Strukturelle Faktoren sind modifizierbar.</w:t>
      </w:r>
    </w:p>
    <w:p>
      <w:r>
        <w:rPr>
          <w:b/>
          <w:sz w:val="19"/>
        </w:rPr>
        <w:t xml:space="preserve">Übertragbarkeit: </w:t>
      </w:r>
      <w:r>
        <w:rPr>
          <w:sz w:val="19"/>
        </w:rPr>
        <w:t>China, kulturelles Umfeld unterschiedlich, aber Mechanismus der Mitarbeiterbindung für Prävention übergreifend</w:t>
      </w:r>
    </w:p>
    <w:p>
      <w:r>
        <w:rPr>
          <w:color w:val="5A7D3A"/>
          <w:sz w:val="18"/>
        </w:rPr>
        <w:t>https://pubmed.ncbi.nlm.nih.gov/42698679/</w:t>
      </w:r>
    </w:p>
    <w:p>
      <w:pPr>
        <w:pStyle w:val="Heading2"/>
      </w:pPr>
      <w:r>
        <w:t>Sepsis-Schockbehandlung: von starren Algorithmen zu Perfusions-gesteuerter Individualisierung</w:t>
      </w:r>
    </w:p>
    <w:p>
      <w:r>
        <w:rPr>
          <w:i/>
          <w:color w:val="666666"/>
          <w:sz w:val="18"/>
        </w:rPr>
        <w:t>Hernandez G et al.  ·  Crit Care  ·  21.07.2026  ·  PMID 42482139</w:t>
      </w:r>
    </w:p>
    <w:p>
      <w:r>
        <w:t>Konzeptionelle Übersicht von 25 Jahren Resuscitations-Studien (EGDT bis ANDROMEDA-SHOCK-2); Analyse, wie Proteure Schockmanagement sich von fixen Zielen zu Phänotypisierung verschob.</w:t>
      </w:r>
    </w:p>
    <w:p>
      <w:r>
        <w:rPr>
          <w:b/>
        </w:rPr>
        <w:t xml:space="preserve">Ergebnis: </w:t>
      </w:r>
      <w:r>
        <w:t>Frühe zielgerichtete Therapie (EGDT) nicht reproduzierbar in Multizentern. ANDROMEDA-SHOCK zeigte Vorteil von Kapillarfüllungszeit; ANDROMEDA-SHOCK-2 integrierte Phänotypisierung, reversible Tests und serielle Neubewertung mit potenziellen Verbesserungen.</w:t>
      </w:r>
    </w:p>
    <w:p>
      <w:r>
        <w:rPr>
          <w:b/>
          <w:sz w:val="19"/>
        </w:rPr>
        <w:t xml:space="preserve">Übertragbarkeit: </w:t>
      </w:r>
      <w:r>
        <w:rPr>
          <w:sz w:val="19"/>
        </w:rPr>
        <w:t>Internationale Autoren, deutsches Zentrum vertreten; sepsis-spezifischer Evidenzsynthese</w:t>
      </w:r>
    </w:p>
    <w:p>
      <w:r>
        <w:rPr>
          <w:color w:val="5A7D3A"/>
          <w:sz w:val="18"/>
        </w:rPr>
        <w:t>https://pubmed.ncbi.nlm.nih.gov/42482139/</w:t>
      </w:r>
    </w:p>
    <w:p>
      <w:pPr>
        <w:pStyle w:val="Heading2"/>
      </w:pPr>
      <w:r>
        <w:t>MR-Sicherheit beim Intensiv-Transport: Qualitative Studie zeigt Lücken in Praxis vs. Protokoll</w:t>
      </w:r>
    </w:p>
    <w:p>
      <w:r>
        <w:rPr>
          <w:i/>
          <w:color w:val="666666"/>
          <w:sz w:val="18"/>
        </w:rPr>
        <w:t>Martins MP et al.  ·  Radiography (Lond)  ·  20.07.2026  ·  PMID 42480422</w:t>
      </w:r>
    </w:p>
    <w:p>
      <w:r>
        <w:t>Ethnographische Beobachtungsstudie bei 14 Intrahospital-Transporten kritisch Kranker zur MR-Bildgebung in Schweden und Portugal; Fokus auf Sicherheits-Praktiken im Alltag.</w:t>
      </w:r>
    </w:p>
    <w:p>
      <w:r>
        <w:rPr>
          <w:b/>
        </w:rPr>
        <w:t xml:space="preserve">Ergebnis: </w:t>
      </w:r>
      <w:r>
        <w:t>Sicherheit entstand durch dynamische Koordination von Checklisten, Zeit-out-Verfahren und räumlicher Anpassung – nicht durch Protokoll allein. Lücken entstanden bei unzureichender Kommunikation und unvollständiger Dokumentation zu Implantaten. Radiographen waren zentrale Koordinatoren.</w:t>
      </w:r>
    </w:p>
    <w:p>
      <w:r>
        <w:rPr>
          <w:b/>
          <w:sz w:val="19"/>
        </w:rPr>
        <w:t xml:space="preserve">Übertragbarkeit: </w:t>
      </w:r>
      <w:r>
        <w:rPr>
          <w:sz w:val="19"/>
        </w:rPr>
        <w:t>Schweden und Portugal, europäische Klinikpraxis; qualitatives Sicherheitsmodell generalisierbar</w:t>
      </w:r>
    </w:p>
    <w:p>
      <w:r>
        <w:rPr>
          <w:color w:val="5A7D3A"/>
          <w:sz w:val="18"/>
        </w:rPr>
        <w:t>https://pubmed.ncbi.nlm.nih.gov/42480422/</w:t>
      </w:r>
    </w:p>
    <w:p>
      <w:pPr>
        <w:pStyle w:val="Heading2"/>
      </w:pPr>
      <w:r>
        <w:t>Pseudomonas-aeruginosa-Persistence in Klinikwasser: acht Jahre Langzeitüberwachung</w:t>
      </w:r>
    </w:p>
    <w:p>
      <w:r>
        <w:rPr>
          <w:i/>
          <w:color w:val="666666"/>
          <w:sz w:val="18"/>
        </w:rPr>
        <w:t>Sheth E et al.  ·  J Hosp Infect  ·  21.07.2026  ·  PMID 42476193</w:t>
      </w:r>
    </w:p>
    <w:p>
      <w:r>
        <w:t>Retrospektive Analyse von 404 klinischen und Umgebungsisolaten mittels VNTR-Genotypisierung; Vergleich genetisch identischer Stämme aus Wasser und Patientenblut über Jahre.</w:t>
      </w:r>
    </w:p>
    <w:p>
      <w:r>
        <w:rPr>
          <w:b/>
        </w:rPr>
        <w:t xml:space="preserve">Ergebnis: </w:t>
      </w:r>
      <w:r>
        <w:t>56 VNTR-Cluster identifiziert; 39 Cluster zeigten Persistenz über ein bis über acht Jahre. Umgebungsisolate voraus: neun Cluster zeigten Wasser-zu-Patient-Transmission. Ein Cluster (n=20) über acht Jahre mit 17 Umgebungs-, ein invasives und zwei nicht-invasive Isolate.</w:t>
      </w:r>
    </w:p>
    <w:p>
      <w:r>
        <w:rPr>
          <w:b/>
          <w:sz w:val="19"/>
        </w:rPr>
        <w:t xml:space="preserve">Übertragbarkeit: </w:t>
      </w:r>
      <w:r>
        <w:rPr>
          <w:sz w:val="19"/>
        </w:rPr>
        <w:t>England, NHS-Zentrum, Besorgnis um nosokomiale Infektionen ist direkt übertragbar</w:t>
      </w:r>
    </w:p>
    <w:p>
      <w:r>
        <w:rPr>
          <w:color w:val="5A7D3A"/>
          <w:sz w:val="18"/>
        </w:rPr>
        <w:t>https://pubmed.ncbi.nlm.nih.gov/42476193/</w:t>
      </w:r>
    </w:p>
    <w:p>
      <w:pPr>
        <w:pStyle w:val="Heading1"/>
      </w:pPr>
      <w:r>
        <w:t>Aufgenommen am 06.09.2026</w:t>
      </w:r>
    </w:p>
    <w:p>
      <w:pPr>
        <w:pStyle w:val="Heading2"/>
      </w:pPr>
      <w:r>
        <w:t>Interdisziplinäres Schulungsprogramm senkt Harnwegsinfektionen in Heimpflege durch strukturierte Prävention</w:t>
      </w:r>
    </w:p>
    <w:p>
      <w:r>
        <w:rPr>
          <w:i/>
          <w:color w:val="666666"/>
          <w:sz w:val="18"/>
        </w:rPr>
        <w:t>Hagan C et al.  ·  Home Healthc Now  ·  04.09.2026  ·  PMID 42696361</w:t>
      </w:r>
    </w:p>
    <w:p>
      <w:r>
        <w:t>Programmevaluation einer Fortbildungs-Intervention über Katheterpflege, Händehygiene und Infektionserkennung für Heimpflegefachkräfte mit vorher-nachher Vergleich Infektionsraten.</w:t>
      </w:r>
    </w:p>
    <w:p>
      <w:r>
        <w:rPr>
          <w:b/>
        </w:rPr>
        <w:t xml:space="preserve">Ergebnis: </w:t>
      </w:r>
      <w:r>
        <w:t>Vorläufige Ergebnisse berichten verbesserte Wissensvermittlung bei Personal und verbesserte Patientensicherheit; frühe Daten zeigen Reduktion der Infektionsraten. Interdisziplinärer Ansatz über Pflege, Ergotherapie, Wund- und Stomatologie-Spezialisierungen erwies sich in Alltagsroutinen praktisch anwendbar.</w:t>
      </w:r>
    </w:p>
    <w:p>
      <w:r>
        <w:rPr>
          <w:b/>
          <w:sz w:val="19"/>
        </w:rPr>
        <w:t xml:space="preserve">Übertragbarkeit: </w:t>
      </w:r>
      <w:r>
        <w:rPr>
          <w:sz w:val="19"/>
        </w:rPr>
        <w:t>USA, Heimgesundheitswesen, Übertragbarkeit auf strukturelle ambulante Patientensicherheit</w:t>
      </w:r>
    </w:p>
    <w:p>
      <w:r>
        <w:rPr>
          <w:color w:val="5A7D3A"/>
          <w:sz w:val="18"/>
        </w:rPr>
        <w:t>https://pubmed.ncbi.nlm.nih.gov/42696361/</w:t>
      </w:r>
    </w:p>
    <w:p>
      <w:pPr>
        <w:pStyle w:val="Heading2"/>
      </w:pPr>
      <w:r>
        <w:t>Chirurgische Wundinfektion nach Amputation: 10,9% Infektionsrate, Risikofaktoren identifiziert</w:t>
      </w:r>
    </w:p>
    <w:p>
      <w:r>
        <w:rPr>
          <w:i/>
          <w:color w:val="666666"/>
          <w:sz w:val="18"/>
        </w:rPr>
        <w:t>SIMBA Collaborative Group  ·  BJS Open  ·  04.09.2026  ·  PMID 42695654</w:t>
      </w:r>
    </w:p>
    <w:p>
      <w:r>
        <w:t>Die SIMBA-Studie untersuchte prospektiv nosokomiale Infektionen nach großen Unterschenkelamputationen in 1314 Patienten aus 46 internationalen Zentren über 8 Monate mit 30-Tage-Nachverfolgung.</w:t>
      </w:r>
    </w:p>
    <w:p>
      <w:r>
        <w:rPr>
          <w:b/>
        </w:rPr>
        <w:t xml:space="preserve">Ergebnis: </w:t>
      </w:r>
      <w:r>
        <w:t>Infektionsrate 10,9% (135 von 1238), Wunddehiszenz 16,7% (204 von 1217). Unabhängige Risikofaktoren: niedrige glomeruläre Filtrationsrate, Herzerkrankung, verschmutzte/infizierte Wundklasse, Unterschenkelamputationen. Infektionen mit erhöhter Morbidität, Wunddehiszenz, Revisionsoperationen und verzögerter Entlassung assoziiert, aber nicht mit 30-Tage-Mortalität (7,0%).</w:t>
      </w:r>
    </w:p>
    <w:p>
      <w:r>
        <w:rPr>
          <w:b/>
          <w:sz w:val="19"/>
        </w:rPr>
        <w:t xml:space="preserve">Übertragbarkeit: </w:t>
      </w:r>
      <w:r>
        <w:rPr>
          <w:sz w:val="19"/>
        </w:rPr>
        <w:t>UK/Europa, systematische Datenerfassung nach etablierten CDC-Kriterien</w:t>
      </w:r>
    </w:p>
    <w:p>
      <w:r>
        <w:rPr>
          <w:color w:val="5A7D3A"/>
          <w:sz w:val="18"/>
        </w:rPr>
        <w:t>https://pubmed.ncbi.nlm.nih.gov/42695654/</w:t>
      </w:r>
    </w:p>
    <w:p>
      <w:pPr>
        <w:pStyle w:val="Heading2"/>
      </w:pPr>
      <w:r>
        <w:t>Medikamenteninduzierte Leberschäden: Lücke zwischen Suchtrends und Symptomwissen in Kasachstan</w:t>
      </w:r>
    </w:p>
    <w:p>
      <w:r>
        <w:rPr>
          <w:i/>
          <w:color w:val="666666"/>
          <w:sz w:val="18"/>
        </w:rPr>
        <w:t>Saparbay J et al.  ·  Int J Environ Res Public Health  ·  14.08.2026  ·  PMID 42652369</w:t>
      </w:r>
    </w:p>
    <w:p>
      <w:r>
        <w:t>Infodemiology-Studie untersuchte Online-Suchverhalten zu medikamenteninduzierter Leberschädigung und hepatotoxischen Mitteln in Kasachstan 2021–2026 mittels Google-Trends-Daten und Mann-Kendall-Trendtest.</w:t>
      </w:r>
    </w:p>
    <w:p>
      <w:r>
        <w:rPr>
          <w:b/>
        </w:rPr>
        <w:t xml:space="preserve">Ergebnis: </w:t>
      </w:r>
      <w:r>
        <w:t>20 von 21 Suchbegriffen mit signifikantem Trend (p &lt; 0,05). Diätetische Supplemente zeigten stärksten Anstiegstrend (S = +1.275, Z = +7,93, p &lt; 0,001). Allgemeiner Begriff ‚Leber' höchste Suchaktivität (mittlere RSV 84,30), spezifische DILI-Symptome (dunkler Urin, Hautjucken) minimal (1,28; 0,07). Starke positive Korrelation Paracetamol-Antibiotika-Suchen (rs = 0,812, p &lt; 0,001) zeigt Selbstmedikationsmuster.</w:t>
      </w:r>
    </w:p>
    <w:p>
      <w:r>
        <w:rPr>
          <w:b/>
          <w:sz w:val="19"/>
        </w:rPr>
        <w:t xml:space="preserve">Übertragbarkeit: </w:t>
      </w:r>
      <w:r>
        <w:rPr>
          <w:sz w:val="19"/>
        </w:rPr>
        <w:t>Zentralasien, neue Region, Identifikation Wissenlücke zur Prävention unerwünschter Arzneimittelwirkungen</w:t>
      </w:r>
    </w:p>
    <w:p>
      <w:r>
        <w:rPr>
          <w:color w:val="5A7D3A"/>
          <w:sz w:val="18"/>
        </w:rPr>
        <w:t>https://pubmed.ncbi.nlm.nih.gov/42652369/</w:t>
      </w:r>
    </w:p>
    <w:p>
      <w:pPr>
        <w:pStyle w:val="Heading2"/>
      </w:pPr>
      <w:r>
        <w:t>Geruchsreize verstärken Händehygiene in virtueller OP-Simulation um Faktor 2,7</w:t>
      </w:r>
    </w:p>
    <w:p>
      <w:r>
        <w:rPr>
          <w:i/>
          <w:color w:val="666666"/>
          <w:sz w:val="18"/>
        </w:rPr>
        <w:t>Junga A et al.  ·  JMIR Med Educ  ·  19.08.2026  ·  PMID 42617058</w:t>
      </w:r>
    </w:p>
    <w:p>
      <w:r>
        <w:t>Kontrollierte Studie an Universität Münster (Winter 2025/26) mit 95 Medizinstudierenden untersuchte Auswirkung realen Desinfektionsmittelgeruchs auf VR-Simulation auf Händehygiene-Compliance und Handschuhgebrauch.</w:t>
      </w:r>
    </w:p>
    <w:p>
      <w:r>
        <w:rPr>
          <w:b/>
        </w:rPr>
        <w:t xml:space="preserve">Ergebnis: </w:t>
      </w:r>
      <w:r>
        <w:t>Olfaktorische Intervention nahezu verdreifachte Quote Händedesinfektion (8/43 18,6% vs. 20/52 38,5%; absolute Risikodifferenz 19,9 Prozentpunkte; OR=2,73, 95%-KI 1,09–7,40; p=0,04; NNT=5). Kein signifikanter Unterschied Handschuhgebrauch (OR=1,44, 95%-KI 0,62–3,45; p=0,40).</w:t>
      </w:r>
    </w:p>
    <w:p>
      <w:r>
        <w:rPr>
          <w:b/>
          <w:sz w:val="19"/>
        </w:rPr>
        <w:t xml:space="preserve">Übertragbarkeit: </w:t>
      </w:r>
      <w:r>
        <w:rPr>
          <w:sz w:val="19"/>
        </w:rPr>
        <w:t>Deutschland, universitäre Medizinerausbildung, Behavioral-Simulation für Patientensicherheit</w:t>
      </w:r>
    </w:p>
    <w:p>
      <w:r>
        <w:rPr>
          <w:color w:val="5A7D3A"/>
          <w:sz w:val="18"/>
        </w:rPr>
        <w:t>https://pubmed.ncbi.nlm.nih.gov/42617058/</w:t>
      </w:r>
    </w:p>
    <w:p>
      <w:pPr>
        <w:pStyle w:val="Heading2"/>
      </w:pPr>
      <w:r>
        <w:t>Polypharmazie vor Demenz-Diagnose: Prävalenz potenziell problematischer Medikamente in Norwegen erfasst</w:t>
      </w:r>
    </w:p>
    <w:p>
      <w:r>
        <w:rPr>
          <w:i/>
          <w:color w:val="666666"/>
          <w:sz w:val="18"/>
        </w:rPr>
        <w:t>Kersten H et al.  ·  PLoS One  ·  18.08.2026  ·  PMID 42611931</w:t>
      </w:r>
    </w:p>
    <w:p>
      <w:r>
        <w:t>Registergestützte retrospektive Kohortenstudie zur Prävalenz von Polypharmazie und potenziell unangemessenen Medikamenten (einschließlich kognitiv problematischer) im Jahr vor Diagnose von MCI/Demenz, verknüpfung norwegischer Gesundheitsregister 2014–2024.</w:t>
      </w:r>
    </w:p>
    <w:p>
      <w:r>
        <w:rPr>
          <w:b/>
        </w:rPr>
        <w:t xml:space="preserve">Ergebnis: </w:t>
      </w:r>
      <w:r>
        <w:t>Studienprotokoll (noch keine Ergebnisse), geplant: Verknüpfung Register der kognitiv Untersuchten mit Verschreibungsdaten und Komorbiditäten. Ziel: Prävalenz Polypharmazie und problematischer Medikamente bei diagnostizierter MCI/Demenz beschreiben, deprescribing-Interventionen informieren.</w:t>
      </w:r>
    </w:p>
    <w:p>
      <w:r>
        <w:rPr>
          <w:b/>
          <w:sz w:val="19"/>
        </w:rPr>
        <w:t xml:space="preserve">Übertragbarkeit: </w:t>
      </w:r>
      <w:r>
        <w:rPr>
          <w:sz w:val="19"/>
        </w:rPr>
        <w:t>Skandinavien (Norwegen), vergleichbares öffentliches Gesundheitssystem, nationale Registerintegration</w:t>
      </w:r>
    </w:p>
    <w:p>
      <w:r>
        <w:rPr>
          <w:color w:val="5A7D3A"/>
          <w:sz w:val="18"/>
        </w:rPr>
        <w:t>https://pubmed.ncbi.nlm.nih.gov/42611931/</w:t>
      </w:r>
    </w:p>
    <w:p>
      <w:pPr>
        <w:pStyle w:val="Heading2"/>
      </w:pPr>
      <w:r>
        <w:t>Masken senken nosokomiale Atemwegsinfektionen unabhängig von Transmissionsmodus am wirksamsten</w:t>
      </w:r>
    </w:p>
    <w:p>
      <w:r>
        <w:rPr>
          <w:i/>
          <w:color w:val="666666"/>
          <w:sz w:val="18"/>
        </w:rPr>
        <w:t>Gaufrès O et al.  ·  PLoS Comput Biol  ·  03.08.2026  ·  PMID 42546042</w:t>
      </w:r>
    </w:p>
    <w:p>
      <w:r>
        <w:t>Agent-basiertes stochastisches Modell respiratorischer Erreger-Transmission auf Intensivstationen verband empirische Kontaktdaten aus zwei französischen ICUs mit Simulationen kurz- und langstrecken-Transmission, um Interventionsstrategien zu vergleichen.</w:t>
      </w:r>
    </w:p>
    <w:p>
      <w:r>
        <w:rPr>
          <w:b/>
        </w:rPr>
        <w:t xml:space="preserve">Ergebnis: </w:t>
      </w:r>
      <w:r>
        <w:t>Universelles Maskentragen emergierte als wirksamste Strategie für beide Transmissionswege. Mit Lüftung in patientenzugänglichen Räumen konnten Masken mit begrenztem Wirkungsverlust reduziert werden. Interventionen für Beschäftigte (z. B. Lüftung nicht für Patienten zugänglich) senken indirekt Inzidenz bei Patienten stärker, wenn kombiniert mit gelockerten Maskenmaßnahmen.</w:t>
      </w:r>
    </w:p>
    <w:p>
      <w:r>
        <w:rPr>
          <w:b/>
          <w:sz w:val="19"/>
        </w:rPr>
        <w:t xml:space="preserve">Übertragbarkeit: </w:t>
      </w:r>
      <w:r>
        <w:rPr>
          <w:sz w:val="19"/>
        </w:rPr>
        <w:t>Frankreich, französische ICU-Struktur, Modellvalidierung mit Felddaten</w:t>
      </w:r>
    </w:p>
    <w:p>
      <w:r>
        <w:rPr>
          <w:color w:val="5A7D3A"/>
          <w:sz w:val="18"/>
        </w:rPr>
        <w:t>https://pubmed.ncbi.nlm.nih.gov/42546042/</w:t>
      </w:r>
    </w:p>
    <w:p>
      <w:pPr>
        <w:pStyle w:val="Heading2"/>
      </w:pPr>
      <w:r>
        <w:t>Piperacillin-Tazobactam-Resistenz und Mortalität: keine signifikante Assoziation nach Risikoanpassung</w:t>
      </w:r>
    </w:p>
    <w:p>
      <w:r>
        <w:rPr>
          <w:i/>
          <w:color w:val="666666"/>
          <w:sz w:val="18"/>
        </w:rPr>
        <w:t>Tusch E et al.  ·  JAMA Netw Open  ·  01.07.2026  ·  PMID 42485042</w:t>
      </w:r>
    </w:p>
    <w:p>
      <w:r>
        <w:t>Dänische nationale Registeranalyse von 34.379 Patienten mit E. coli oder K. pneumoniae Bacteriämie, Vergleich TZP-resistent vs. -empfindlich für 30-Tage-Mortalität.</w:t>
      </w:r>
    </w:p>
    <w:p>
      <w:r>
        <w:rPr>
          <w:b/>
        </w:rPr>
        <w:t xml:space="preserve">Ergebnis: </w:t>
      </w:r>
      <w:r>
        <w:t>E. coli: 5,9% TZP-resistent (1689/28.649), K. pneumoniae: 9,5% TZP-resistent (597/6314). Rohe HR E. coli 1,22 (95%-KI 1,08–1,38), K. pneumoniae 1,27 (95%-KI 1,05–1,52). Nach Anpassung auf Baseline-Risikofaktoren kein signifikanter Unterschied: E. coli aHR 1,09 (95%-KI 0,94–1,27), K. pneumoniae aHR 1,15 (95%-KI 0,94–1,41).</w:t>
      </w:r>
    </w:p>
    <w:p>
      <w:r>
        <w:rPr>
          <w:b/>
          <w:sz w:val="19"/>
        </w:rPr>
        <w:t xml:space="preserve">Übertragbarkeit: </w:t>
      </w:r>
      <w:r>
        <w:rPr>
          <w:sz w:val="19"/>
        </w:rPr>
        <w:t>Skandinavien (Dänemark), vergleichbares öffentliches Gesundheitssystem, nationale Vollzählung</w:t>
      </w:r>
    </w:p>
    <w:p>
      <w:r>
        <w:rPr>
          <w:color w:val="5A7D3A"/>
          <w:sz w:val="18"/>
        </w:rPr>
        <w:t>https://pubmed.ncbi.nlm.nih.gov/42485042/</w:t>
      </w:r>
    </w:p>
    <w:p>
      <w:pPr>
        <w:pStyle w:val="Heading1"/>
      </w:pPr>
      <w:r>
        <w:t>Aufgenommen am 05.09.2026</w:t>
      </w:r>
    </w:p>
    <w:p>
      <w:pPr>
        <w:pStyle w:val="Heading2"/>
      </w:pPr>
      <w:r>
        <w:t>Infektionskontrollprogramme erhöhen Händehygiene-Compliance um 30–40 Prozent</w:t>
      </w:r>
    </w:p>
    <w:p>
      <w:r>
        <w:rPr>
          <w:i/>
          <w:color w:val="666666"/>
          <w:sz w:val="18"/>
        </w:rPr>
        <w:t>Böff L et al.  ·  BMJ Open  ·  04.09.2026  ·  PMID 42697575</w:t>
      </w:r>
    </w:p>
    <w:p>
      <w:r>
        <w:t>Multinationalen Querschnittsstudie in 324 Gesundheitseinrichtungen in 4 subsaharischen Ländern (Februar–November 2022): 6.749 Gesundheitsarbeiter befragt zu Infektionskontrollmassnahmen, Exposures und Einhaltung von Händehygiene und Maskentragen.</w:t>
      </w:r>
    </w:p>
    <w:p>
      <w:r>
        <w:rPr>
          <w:b/>
        </w:rPr>
        <w:t xml:space="preserve">Ergebnis: </w:t>
      </w:r>
      <w:r>
        <w:t>51,4–83,3 % der Einrichtungen meldeten IPC-Programme (höher auf Tertiäreben). Nur 19,8 % hatten Handdesinfektionsmittel in jedem Zimmer. Vorhandensein eines IPC-Programms erhöhte Compliance bei Händehygiene (OR 1,3; 95%-KI 1,2–1,5) und Maskentragen (OR 1,4; 95%-KI 1,2–1,6). IPC-Training erhöhte Händehygiene-Compliance (OR 1,5; 95%-KI 1,3–1,7). Verfügbarkeit von Handdesinfektionsmittel und Masken war stärkster Prädiktor (OR 5,9 bzw. 2,3).</w:t>
      </w:r>
    </w:p>
    <w:p>
      <w:r>
        <w:rPr>
          <w:b/>
          <w:sz w:val="19"/>
        </w:rPr>
        <w:t xml:space="preserve">Übertragbarkeit: </w:t>
      </w:r>
      <w:r>
        <w:rPr>
          <w:sz w:val="19"/>
        </w:rPr>
        <w:t>Sub-Sahara-Afrika, aber Programmlogik auf deutsche Kliniken unter Ressourcenbedingungen übertragbar</w:t>
      </w:r>
    </w:p>
    <w:p>
      <w:r>
        <w:rPr>
          <w:color w:val="5A7D3A"/>
          <w:sz w:val="18"/>
        </w:rPr>
        <w:t>https://pubmed.ncbi.nlm.nih.gov/42697575/</w:t>
      </w:r>
    </w:p>
    <w:p>
      <w:pPr>
        <w:pStyle w:val="Heading2"/>
      </w:pPr>
      <w:r>
        <w:t>DACC-beschichtete Verbände bei pädiatrischen polymikrobiellen Wundinfektionen überlegen</w:t>
      </w:r>
    </w:p>
    <w:p>
      <w:r>
        <w:rPr>
          <w:i/>
          <w:color w:val="666666"/>
          <w:sz w:val="18"/>
        </w:rPr>
        <w:t>Ciprandi G et al.  ·  J Wound Care  ·  02.09.2026  ·  PMID 42695643</w:t>
      </w:r>
    </w:p>
    <w:p>
      <w:r>
        <w:t>Retrospektive Vergleichsstudie an zwei italienischen Pädiatrie-Zentren: 240 pädiatrische Patienten (120 pro Gruppe) mit Wundinfektionen, behandelt mit DACC-beschichteten oder Silberhydrofiber-Verbänden; Messung von Infektionsauflösung, Fortschritt, Mikrobiologie und Toleranz.</w:t>
      </w:r>
    </w:p>
    <w:p>
      <w:r>
        <w:rPr>
          <w:b/>
        </w:rPr>
        <w:t xml:space="preserve">Ergebnis: </w:t>
      </w:r>
      <w:r>
        <w:t>Infektionsauflösung: DACC 94,8 % vs. Silberhydrofiber 79,0 % (p=0,05). Keine Progression/Verschlechterung: DACC 4,2 % vs. 13,5 % (p=0,03) bzw. 2,5 % vs. 7,5 % (p=0,005). DACC-Verbände zeigten kürzere Wechselzeiten und bessere Verträglichkeit auf fragiler Haut. Häufig WHO-Prioritätserreger in Kulturen.</w:t>
      </w:r>
    </w:p>
    <w:p>
      <w:r>
        <w:rPr>
          <w:b/>
          <w:sz w:val="19"/>
        </w:rPr>
        <w:t xml:space="preserve">Übertragbarkeit: </w:t>
      </w:r>
      <w:r>
        <w:rPr>
          <w:sz w:val="19"/>
        </w:rPr>
        <w:t>Italien, deutschsprachiger Pädiatrie-Standard vergleichbar</w:t>
      </w:r>
    </w:p>
    <w:p>
      <w:r>
        <w:rPr>
          <w:color w:val="5A7D3A"/>
          <w:sz w:val="18"/>
        </w:rPr>
        <w:t>https://pubmed.ncbi.nlm.nih.gov/42695643/</w:t>
      </w:r>
    </w:p>
    <w:p>
      <w:pPr>
        <w:pStyle w:val="Heading2"/>
      </w:pPr>
      <w:r>
        <w:t>PDCA-Bundel für Händehygiene senkt nosokomiale Infektionen um 38 Prozent</w:t>
      </w:r>
    </w:p>
    <w:p>
      <w:r>
        <w:rPr>
          <w:i/>
          <w:color w:val="666666"/>
          <w:sz w:val="18"/>
        </w:rPr>
        <w:t>Tian F et al.  ·  J Vis Exp  ·  03.09.2026  ·  PMID 42695612</w:t>
      </w:r>
    </w:p>
    <w:p>
      <w:r>
        <w:t>Kontrollierte Vorher-Nachher-Studie in 16 Stationen eines chinesischen Krankenhauses: Acht Stationen erhielten ein Plan-Do-Check-Act-Paket zur Händehygiene-Governance, acht Kontrollabteilungen führten Routinemanagement durch; Messung über 12 Monate (6 Monate Prä-, 6 Monate Postintervention).</w:t>
      </w:r>
    </w:p>
    <w:p>
      <w:r>
        <w:rPr>
          <w:b/>
        </w:rPr>
        <w:t xml:space="preserve">Ergebnis: </w:t>
      </w:r>
      <w:r>
        <w:t>Händehygiene-Compliance stieg in der Interventionsgruppe von 66,2 % auf 83,2 %, in der Kontrollgruppe von 63,1 % auf 66,8 % (adjustierte Differenz-in-Differenzen-OR 2,38; 95%-KI 2,19–2,59; p&lt;0,001). Nosokomiale Infektionen sanken von 7,07 auf 4,37 pro 1.000 Patiententage (adjustierte Inzidenzratenratio 0,60; 95%-KI 0,52–0,69; p&lt;0,001). Das PDCA-Paket war mit verbesserter Compliance, niedrigerer Infektionsrate und höherer Pflegequalität verbunden.</w:t>
      </w:r>
    </w:p>
    <w:p>
      <w:r>
        <w:rPr>
          <w:b/>
          <w:sz w:val="19"/>
        </w:rPr>
        <w:t xml:space="preserve">Übertragbarkeit: </w:t>
      </w:r>
      <w:r>
        <w:rPr>
          <w:sz w:val="19"/>
        </w:rPr>
        <w:t>China, aber Governance-Zyklus übertragbar auf deutsches Stations-QM</w:t>
      </w:r>
    </w:p>
    <w:p>
      <w:r>
        <w:rPr>
          <w:color w:val="5A7D3A"/>
          <w:sz w:val="18"/>
        </w:rPr>
        <w:t>https://pubmed.ncbi.nlm.nih.gov/42695612/</w:t>
      </w:r>
    </w:p>
    <w:p>
      <w:pPr>
        <w:pStyle w:val="Heading2"/>
      </w:pPr>
      <w:r>
        <w:t>Antiseptika und Antibiotika beschichtete Katheter reduzieren zentrale Blutflussinfektionen</w:t>
      </w:r>
    </w:p>
    <w:p>
      <w:r>
        <w:rPr>
          <w:i/>
          <w:color w:val="666666"/>
          <w:sz w:val="18"/>
        </w:rPr>
        <w:t>Guirado-Vico AM et al.  ·  J Infus Nurs  ·  25.08.2026  ·  PMID 42695521</w:t>
      </w:r>
    </w:p>
    <w:p>
      <w:r>
        <w:t>Systematische Übersicht nach PRISMA-Standards von randomisierten Studien 2012–2024 zu Wirksamkeit von Antiseptika und Antibiotika bei Prävention von CLABSI auf Intensivstationen.</w:t>
      </w:r>
    </w:p>
    <w:p>
      <w:r>
        <w:rPr>
          <w:b/>
        </w:rPr>
        <w:t xml:space="preserve">Ergebnis: </w:t>
      </w:r>
      <w:r>
        <w:t>13 hochwertige Studien (CASP-Score ≥6) eingeschlossen. Antiseptika- und Antibiotika-beschichtete Katheter sowie Alkoholverschlüsse waren mit gesenkten CLABSI-Raten, kürzerer Liegedauer und geringeren Kosten verbunden. Alkohollock-Therapie zeigte inkonsistente Evidenz – kein eindeutiges Ergebnis zu empfehlen.</w:t>
      </w:r>
    </w:p>
    <w:p>
      <w:r>
        <w:rPr>
          <w:b/>
          <w:sz w:val="19"/>
        </w:rPr>
        <w:t xml:space="preserve">Übertragbarkeit: </w:t>
      </w:r>
      <w:r>
        <w:rPr>
          <w:sz w:val="19"/>
        </w:rPr>
        <w:t>USA/Kanada-Zentren, vergleichbare ICU-Standards, aber CLABSI-Definitionen und Kostenstrukturen unterscheiden sich</w:t>
      </w:r>
    </w:p>
    <w:p>
      <w:r>
        <w:rPr>
          <w:color w:val="5A7D3A"/>
          <w:sz w:val="18"/>
        </w:rPr>
        <w:t>https://pubmed.ncbi.nlm.nih.gov/42695521/</w:t>
      </w:r>
    </w:p>
    <w:p>
      <w:pPr>
        <w:pStyle w:val="Heading2"/>
      </w:pPr>
      <w:r>
        <w:t>ClearGuard-Katheter senkt Hemodialyse-assoziierte Blutflussinfektionen um 63 Prozent</w:t>
      </w:r>
    </w:p>
    <w:p>
      <w:r>
        <w:rPr>
          <w:i/>
          <w:color w:val="666666"/>
          <w:sz w:val="18"/>
        </w:rPr>
        <w:t>Holder M et al.  ·  J Infus Nurs  ·  25.08.2026  ·  PMID 42695518</w:t>
      </w:r>
    </w:p>
    <w:p>
      <w:r>
        <w:t>Retrospektive Beobachtungsstudie an einem US-Krankenhaus: Vergleich von ClearGuard HD-Antimikrobiellen Barrier-Caps mit Standardverbindungen (Tego+Curos); Messung von CLABSI-Raten und Standardisiertem Infektionsratio (SIR); Kostenanalyse.</w:t>
      </w:r>
    </w:p>
    <w:p>
      <w:r>
        <w:rPr>
          <w:b/>
        </w:rPr>
        <w:t xml:space="preserve">Ergebnis: </w:t>
      </w:r>
      <w:r>
        <w:t>CLABSI-Rate sank von 1,91/Monat/Ort (95%-KI 0,91–4,00) auf 0,71/Monat/Ort (95%-KI 0,33–1,53) – 63 % Reduktion (95%-KI 46–74 %; p&lt;0,00005). SIR sank von 0,721 auf 0,310 (57 % Reduktion). Geschätzter jährlicher Kostensparnis: 1,6 Millionen Dollar. Klinisch signifikante Senkung ohne aufgearbeitete Nebenwirkungen.</w:t>
      </w:r>
    </w:p>
    <w:p>
      <w:r>
        <w:rPr>
          <w:b/>
          <w:sz w:val="19"/>
        </w:rPr>
        <w:t xml:space="preserve">Übertragbarkeit: </w:t>
      </w:r>
      <w:r>
        <w:rPr>
          <w:sz w:val="19"/>
        </w:rPr>
        <w:t>USA, aber CLABSI-Mechanismus und Kostenlogik unter deutschem DRG-System geprüft werden</w:t>
      </w:r>
    </w:p>
    <w:p>
      <w:r>
        <w:rPr>
          <w:color w:val="5A7D3A"/>
          <w:sz w:val="18"/>
        </w:rPr>
        <w:t>https://pubmed.ncbi.nlm.nih.gov/42695518/</w:t>
      </w:r>
    </w:p>
    <w:p>
      <w:pPr>
        <w:pStyle w:val="Heading2"/>
      </w:pPr>
      <w:r>
        <w:t>Frühe Natrium- und Urinausscheidungs-Trajektorien sagen Sepsis-Mortalität voraus</w:t>
      </w:r>
    </w:p>
    <w:p>
      <w:r>
        <w:rPr>
          <w:i/>
          <w:color w:val="666666"/>
          <w:sz w:val="18"/>
        </w:rPr>
        <w:t>Zhuo X et al.  ·  J Glob Health  ·  04.09.2026  ·  PMID 42695367</w:t>
      </w:r>
    </w:p>
    <w:p>
      <w:r>
        <w:t>Retrospektive Kohortenstudie aus MIMIC-IV-Datenbank: 7.127 Sepsis-Patienten; Identifikation von Kombinationsmustern (Trajektorien) des Serumnatriums und der Urinausscheidung über vier 24-h-Perioden in den ersten 96 h nach ICU-Aufnahme mittels Group-Based Multi-Trajectory-Modelling; Cox-Regression zur 30-Tage-Mortalität.</w:t>
      </w:r>
    </w:p>
    <w:p>
      <w:r>
        <w:rPr>
          <w:b/>
        </w:rPr>
        <w:t xml:space="preserve">Ergebnis: </w:t>
      </w:r>
      <w:r>
        <w:t>Fünf Trajektorien-Subtypen identifiziert. Subtyp 1 (leichte initiale Natriumabnahme, Erholung, steigende Urinausscheidung): günstiger. Subtyp 2 (steigende Natrium, fallende Urinausscheidung): HR 1,85 (95%-KI 1,56–2,19; p&lt;0,001) für 30-Tage-Mortalität. Subtypen 4 und 5 auch erhöhtes Risiko (HR 1,31 bzw. 1,53). Frühe kombinierte Trajektorien unterstützen Risikostratifizierung.</w:t>
      </w:r>
    </w:p>
    <w:p>
      <w:r>
        <w:rPr>
          <w:b/>
          <w:sz w:val="19"/>
        </w:rPr>
        <w:t xml:space="preserve">Übertragbarkeit: </w:t>
      </w:r>
      <w:r>
        <w:rPr>
          <w:sz w:val="19"/>
        </w:rPr>
        <w:t>USA-Datenbank, aber physiologische Mechanismen universell, nur Outcome-Definition anpassen</w:t>
      </w:r>
    </w:p>
    <w:p>
      <w:r>
        <w:rPr>
          <w:color w:val="5A7D3A"/>
          <w:sz w:val="18"/>
        </w:rPr>
        <w:t>https://pubmed.ncbi.nlm.nih.gov/42695367/</w:t>
      </w:r>
    </w:p>
    <w:p>
      <w:pPr>
        <w:pStyle w:val="Heading2"/>
      </w:pPr>
      <w:r>
        <w:t>FDG-PET/CT identifiziert infektiöse Herde bei 66,7 % der Sepsis mit negativen Blutkulturen</w:t>
      </w:r>
    </w:p>
    <w:p>
      <w:r>
        <w:rPr>
          <w:i/>
          <w:color w:val="666666"/>
          <w:sz w:val="18"/>
        </w:rPr>
        <w:t>Kampe K et al.  ·  Crit Care Explor  ·  01.09.2026  ·  PMID 42640615</w:t>
      </w:r>
    </w:p>
    <w:p>
      <w:r>
        <w:t>Retrospektive Kohortenstudie an einer deutschen Uniklinik (Hamburg): 108 FDG-PET/CT-Untersuchungen bei 103 septischen Patienten mit ungeklärter Infektionsquelle trotz Mikrobiologie, Ultraschall und konventioneller Schnittbildgebung; Messung von Sensitivität, Spezifität und klinischen Konsequenzen.</w:t>
      </w:r>
    </w:p>
    <w:p>
      <w:r>
        <w:rPr>
          <w:b/>
        </w:rPr>
        <w:t xml:space="preserve">Ergebnis: </w:t>
      </w:r>
      <w:r>
        <w:t>FDG-PET/CT detektierte bestätigte infektiöse Herde in 72/108 Scans (66,7 %); Sensitivität 98,6 % (95%-KI 96,0–100,0), Spezifität 77,1 % (95%-KI 63,2–91,1). 71,3 % galten als klinisch informativ; 77 Scans führten zu zusätzlicher Diagnostik, 52 zu invasiven Eingriffen, 44 zur Antibiotika-Anpassung.</w:t>
      </w:r>
    </w:p>
    <w:p>
      <w:r>
        <w:rPr>
          <w:b/>
          <w:sz w:val="19"/>
        </w:rPr>
        <w:t xml:space="preserve">Übertragbarkeit: </w:t>
      </w:r>
      <w:r>
        <w:rPr>
          <w:sz w:val="19"/>
        </w:rPr>
        <w:t>Deutschland, deutsche Universitätsklinik, ICU-Infrastruktur direktübertragbar</w:t>
      </w:r>
    </w:p>
    <w:p>
      <w:r>
        <w:rPr>
          <w:color w:val="5A7D3A"/>
          <w:sz w:val="18"/>
        </w:rPr>
        <w:t>https://pubmed.ncbi.nlm.nih.gov/42640615/</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2026-09-22T06:00:00Z</dcterms:created>
  <dcterms:modified xsi:type="dcterms:W3CDTF">2026-09-22T06:00:00Z</dcterms:modified>
  <cp:category/>
</cp:coreProperties>
</file>