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12.09.2026  |  6 Studien  |  safety.m-vf.de</w:t>
      </w:r>
    </w:p>
    <w:p>
      <w:pPr>
        <w:pStyle w:val="Heading1"/>
      </w:pPr>
      <w:r>
        <w:t>Aufgenommen am 12.09.2026</w:t>
      </w:r>
    </w:p>
    <w:p>
      <w:pPr>
        <w:pStyle w:val="Heading2"/>
      </w:pPr>
      <w:r>
        <w:t>Ungeeignete Arzneimittelkaskaden in älteren Erwachsenen: Priorisierung nach Epidemiologie und Assoziationsstärke</w:t>
      </w:r>
    </w:p>
    <w:p>
      <w:r>
        <w:rPr>
          <w:i/>
          <w:color w:val="666666"/>
          <w:sz w:val="18"/>
        </w:rPr>
        <w:t>Rochon PA et al.  ·  BMJ  ·  10.09.2026  ·  PMID 42727946</w:t>
      </w:r>
    </w:p>
    <w:p>
      <w:r>
        <w:t>Bevölkerungsbasierte Analyse administrativer Daten zur Identifikation potenziell unerwünschter Verschreibungskaskaden in der älteren kanadischen Bevölkerung mit systematischer Priorisierung.</w:t>
      </w:r>
    </w:p>
    <w:p>
      <w:r>
        <w:rPr>
          <w:b/>
        </w:rPr>
        <w:t xml:space="preserve">Ergebnis: </w:t>
      </w:r>
      <w:r>
        <w:t>24 von 65 untersuchten Kaskaden erfüllten Priorisierungskriterien (Prävalenz ≥5%, Inzidenz ≥1%, angepasste Sequenzratio &gt;1). Höchste Inzidenzen: Eisen-zu-Laxans 11,9%, Statine-zu-Schmerzmittel 10,9%, Cholinesterase-Inhibitor-zu-Schlafmittel 10,3%. Stärkste zeitliche Assoziationen: Kortikosteroid-zu-Antipsychotika RR 2,55, Laxans-zu-Antidiarrhöika RR 2,53.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vergleichbarer Versicherungskontext, Deprescribing-Ansätze übertragbar</w:t>
      </w:r>
    </w:p>
    <w:p>
      <w:r>
        <w:rPr>
          <w:color w:val="5A7D3A"/>
          <w:sz w:val="18"/>
        </w:rPr>
        <w:t>https://pubmed.ncbi.nlm.nih.gov/42727946/</w:t>
      </w:r>
    </w:p>
    <w:p>
      <w:pPr>
        <w:pStyle w:val="Heading2"/>
      </w:pPr>
      <w:r>
        <w:t>Chirurgische Wundinfektionen in Frankreich: Systemische Analyse von Häufigkeit, Kosten und Wiederaufnahmen</w:t>
      </w:r>
    </w:p>
    <w:p>
      <w:r>
        <w:rPr>
          <w:i/>
          <w:color w:val="666666"/>
          <w:sz w:val="18"/>
        </w:rPr>
        <w:t>Aragno VA et al.  ·  Inquiry  ·  11.09.2026  ·  PMID 42727077</w:t>
      </w:r>
    </w:p>
    <w:p>
      <w:r>
        <w:t>Retrospektive Analyse der französischen Krankenversicherungsdatenbank zu Häufigkeit und Kostenfolgen von Wundkomplikationen nach elektiven Operationen in vier Fachgebieten.</w:t>
      </w:r>
    </w:p>
    <w:p>
      <w:r>
        <w:rPr>
          <w:b/>
        </w:rPr>
        <w:t xml:space="preserve">Ergebnis: </w:t>
      </w:r>
      <w:r>
        <w:t>Infektionsraten (SSI) ranged 0.44 % (orthopädisch) to 3.09 % (Magen-Darm); Herzchirurgie zeigte höchste Komplikationsrate 14,91 %. Wundkomplikationen führten zu 11–28 zusätzlichen Hospitalisierungstagen und 6.622–22.109 Euro Mehrkosten pro Fall; Wiederaufnahmen insgesamt 840 Mio. Euro Belastung pro Jahr. Vergleichbare administrative Datenqualität zu Deutschland.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 Sozialversicherung, PMSI-Datensatz ähnlich Fallpauschalensystem</w:t>
      </w:r>
    </w:p>
    <w:p>
      <w:r>
        <w:rPr>
          <w:color w:val="5A7D3A"/>
          <w:sz w:val="18"/>
        </w:rPr>
        <w:t>https://pubmed.ncbi.nlm.nih.gov/42727077/</w:t>
      </w:r>
    </w:p>
    <w:p>
      <w:pPr>
        <w:pStyle w:val="Heading2"/>
      </w:pPr>
      <w:r>
        <w:t>Multiresistente Blutstrominfektion bei Kindern mit Hochrisiko-Leukämie: Levofloxacin-Prophylaxe und Resistenzentwicklung</w:t>
      </w:r>
    </w:p>
    <w:p>
      <w:r>
        <w:rPr>
          <w:i/>
          <w:color w:val="666666"/>
          <w:sz w:val="18"/>
        </w:rPr>
        <w:t>Alsabagh M et al.  ·  Pol Merkur Lekarski  ·  2026  ·  PMID 42726826</w:t>
      </w:r>
    </w:p>
    <w:p>
      <w:r>
        <w:t>Retrospektive Kohortenstudie zum Vergleich von multiresistenter Kolonisation und Blutstrominfektion bei intensiv chemotherapierten Kindern mit und ohne Fluorchinolon-Prophylaxe.</w:t>
      </w:r>
    </w:p>
    <w:p>
      <w:r>
        <w:rPr>
          <w:b/>
        </w:rPr>
        <w:t xml:space="preserve">Ergebnis: </w:t>
      </w:r>
      <w:r>
        <w:t>82 Kinder (67,1% männlich), medianes Alter 10 Jahre. Febrile Neutropenie in 89,3% der Zyklen. Fluorchinolon-Empfindlichkeit niedrig: 16% bei rektalen und 11,8% bei Blutkultur-Isolaten, abnehmend über Zyklen. Mortalität assoziiert mit multiresistenter Klebsiella pneumoniae und Fluorchinolon-Resistenz. Routine-Levofloxacin-Prophylaxe bietet begrenzte Vorteile.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Ägypten, Antibiotic-Stewardship-Problem international relevant</w:t>
      </w:r>
    </w:p>
    <w:p>
      <w:r>
        <w:rPr>
          <w:color w:val="5A7D3A"/>
          <w:sz w:val="18"/>
        </w:rPr>
        <w:t>https://pubmed.ncbi.nlm.nih.gov/42726826/</w:t>
      </w:r>
    </w:p>
    <w:p>
      <w:pPr>
        <w:pStyle w:val="Heading2"/>
      </w:pPr>
      <w:r>
        <w:t>Multizentrischer Ausbruch durch Candida viswanathii in kontaminiertem Milrinon, Italien 2025</w:t>
      </w:r>
    </w:p>
    <w:p>
      <w:r>
        <w:rPr>
          <w:i/>
          <w:color w:val="666666"/>
          <w:sz w:val="18"/>
        </w:rPr>
        <w:t>Mesini A et al.  ·  Euro Surveill  ·  Sept. 2026  ·  PMID 42725369</w:t>
      </w:r>
    </w:p>
    <w:p>
      <w:r>
        <w:t>Epidemiologische Untersuchung eines Ausbruchs von Blutstrominfektion durch ein seltenes Hefepilz-Medikament-assoziiert nach hypothesengestützter Ermittlung.</w:t>
      </w:r>
    </w:p>
    <w:p>
      <w:r>
        <w:rPr>
          <w:b/>
        </w:rPr>
        <w:t xml:space="preserve">Ergebnis: </w:t>
      </w:r>
      <w:r>
        <w:t>40 Fälle von Kandidämie in vier italienischen Zentren, April–Oktober 2025, alle durch kontaminiertes Milrinon verursacht. Starke geografische Assoziation mit indischem Subkontinent führte zur Identifikation des Infektionsöls. Sofortige Maßnahmen: Produktrückzug, Benachrichtigung der Behörden, aktive mikrobiologische Überwachung exponierter Patienten.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Europa-Italien, klinische Ausbruchserkennung und Pharmakovigilanz übertragbar</w:t>
      </w:r>
    </w:p>
    <w:p>
      <w:r>
        <w:rPr>
          <w:color w:val="5A7D3A"/>
          <w:sz w:val="18"/>
        </w:rPr>
        <w:t>https://pubmed.ncbi.nlm.nih.gov/42725369/</w:t>
      </w:r>
    </w:p>
    <w:p>
      <w:pPr>
        <w:pStyle w:val="Heading2"/>
      </w:pPr>
      <w:r>
        <w:t>Aufbereitung chirurgischer Instrumente in Katastrophenfällen: Barrieren, Lücken und Handlungsoptionen</w:t>
      </w:r>
    </w:p>
    <w:p>
      <w:r>
        <w:rPr>
          <w:i/>
          <w:color w:val="666666"/>
          <w:sz w:val="18"/>
        </w:rPr>
        <w:t>Nematollahi MS et al.  ·  Antimicrob Resist Infect Control  ·  28.08.2026  ·  PMID 42723127</w:t>
      </w:r>
    </w:p>
    <w:p>
      <w:r>
        <w:t>Systematischer Review zu Vulnerabilitäten, Barrieren und adaptiven Strategien bei der Sterilisation wiederverwendbarer Instrumente während Infektionsausbrüchen und Katastrophen.</w:t>
      </w:r>
    </w:p>
    <w:p>
      <w:r>
        <w:rPr>
          <w:b/>
        </w:rPr>
        <w:t xml:space="preserve">Ergebnis: </w:t>
      </w:r>
      <w:r>
        <w:t>11 Studien aus neun Ländern. Wiederkehrende Barrieren: unvollständige Reinigung, mangelhafte Lumen-Dekontamination, Geräteausfälle, kontaminierte Wasser-/Spülsysteme, begrenzte Notfallvorbereitung, Personalengpässe, fehlende Instrumentenverfolgung. Adaptive Strategien: standardisierte Reinigungsprotokolle, Umgebungsüberwachung, Schulung, mobile/Container-Sterilisationskapazität, Notfall-Aufbereitungskonzepte. Herausforderungen sind operational-infrastrukturell, nicht isoliert technisch.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Evidenz aus Ausbruchsuntersuchungen, auf Deutschland übertragbar</w:t>
      </w:r>
    </w:p>
    <w:p>
      <w:r>
        <w:rPr>
          <w:color w:val="5A7D3A"/>
          <w:sz w:val="18"/>
        </w:rPr>
        <w:t>https://pubmed.ncbi.nlm.nih.gov/42723127/</w:t>
      </w:r>
    </w:p>
    <w:p>
      <w:pPr>
        <w:pStyle w:val="Heading2"/>
      </w:pPr>
      <w:r>
        <w:t>CXCL10-Genotyp rs8878 und T-Zell-Erhalt im Sepsis-Verlauf: Biomarker für Risikostratifizierung</w:t>
      </w:r>
    </w:p>
    <w:p>
      <w:r>
        <w:rPr>
          <w:i/>
          <w:color w:val="666666"/>
          <w:sz w:val="18"/>
        </w:rPr>
        <w:t>Dyck B et al.  ·  Front Immunol  ·  17.07.2026  ·  PMID 42540005</w:t>
      </w:r>
    </w:p>
    <w:p>
      <w:r>
        <w:t>Prospektive Kohortenstudie zu Assoziation des CXCL10-Genotyps mit T-Lymphozyten-Homöostase und 30-Tage-Mortalität bei Sepsis-Patienten in Deutschland.</w:t>
      </w:r>
    </w:p>
    <w:p>
      <w:r>
        <w:rPr>
          <w:b/>
        </w:rPr>
        <w:t xml:space="preserve">Ergebnis: </w:t>
      </w:r>
      <w:r>
        <w:t>278 sepsis-Patienten untersucht. AA-Genotyp-Träger hatten höhere zirkulierende T-Zell-Zahlen und verbesserte Überlebenschancen vs. G-Allel-Träger. Höhere Gesamt- und CD8+-T-Zell-Zahlen signifikant mit verbessertem Überleben assoziiert. CXCL10-Konzentrationen Tag 1 positiv mit IL-6, IL-8, IL-10, IL-18, MCP-1, IFN-γ korreliert, invers mit T-Zell-Zahlen. AA-Genotyp prädiktiv für bessere 30-Tage-Überlebenschance.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Ruhr-Universität Bochum, direkt auf deutsches Patientenkollektiv anwendbar</w:t>
      </w:r>
    </w:p>
    <w:p>
      <w:r>
        <w:rPr>
          <w:color w:val="5A7D3A"/>
          <w:sz w:val="18"/>
        </w:rPr>
        <w:t>https://pubmed.ncbi.nlm.nih.gov/42540005/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2026-09-12T06:00:00Z</dcterms:created>
  <dcterms:modified xsi:type="dcterms:W3CDTF">2026-09-12T06:00:00Z</dcterms:modified>
  <cp:category/>
</cp:coreProperties>
</file>