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27.09.2026  |  6 Studien  |  safety.m-vf.de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Pflegeanfänger erkennen Medikationsfehler und Stürze, benötigen aber Kultur der psychologischen Sicherheit</w:t>
      </w:r>
    </w:p>
    <w:p>
      <w:r>
        <w:rPr>
          <w:i/>
          <w:color w:val="666666"/>
          <w:sz w:val="18"/>
        </w:rPr>
        <w:t>Kohanová D et al.  ·  Nurs Health Sci  ·  Dez. 2026  ·  PMID 42799319</w:t>
      </w:r>
    </w:p>
    <w:p>
      <w:r>
        <w:t>Qualitative Sekundäranalyse von 1.442 Studierenden aus vier Ländern (Tschechien, Italien, Slowakei, Türkei), die über Patientsicherheitsvorfälle während Klinischer Praktika berichteten.</w:t>
      </w:r>
    </w:p>
    <w:p>
      <w:r>
        <w:rPr>
          <w:b/>
        </w:rPr>
        <w:t xml:space="preserve">Ergebnis: </w:t>
      </w:r>
      <w:r>
        <w:t>287 Vorfallbeschreibungen analysiert; am häufigsten: Medikationsfehler und Patientenstürze, gefolgt von Infektionsprävention, Kommunikationsfehler, unzureichende Betreuung. Studierende benannten multifaktoriale Ursachen (Patient, Kontext, Organisation, Mensch). Empfehlungen: strukturierte Debriefings, klare Meldekanäle, psychologisch sichere, nicht-punitiv gestaltete Lernumgebungen.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Mitteleuropa und Südosteuropa, ähnliche Ausbildungsstrukturen</w:t>
      </w:r>
    </w:p>
    <w:p>
      <w:r>
        <w:rPr>
          <w:color w:val="5A7D3A"/>
          <w:sz w:val="18"/>
        </w:rPr>
        <w:t>https://pubmed.ncbi.nlm.nih.gov/42799319/</w:t>
      </w:r>
    </w:p>
    <w:p>
      <w:pPr>
        <w:pStyle w:val="Heading2"/>
      </w:pPr>
      <w:r>
        <w:t>Unangemessene Medikationen bei Älteren in der Primärversorgung: Häufigkeit und Risikofaktoren</w:t>
      </w:r>
    </w:p>
    <w:p>
      <w:r>
        <w:rPr>
          <w:i/>
          <w:color w:val="666666"/>
          <w:sz w:val="18"/>
        </w:rPr>
        <w:t>Paraschiv M et al.  ·  Medicina (Kaunas)  ·  20.09.2026  ·  PMID 42796419</w:t>
      </w:r>
    </w:p>
    <w:p>
      <w:r>
        <w:t>Retrospektive Beobachtungsstudie an 100 Patienten ≥65 Jahren in einer rumänischen Hausarztpraxis, die potenziell unangemessene Medikationen (PIM) nach vier etablierten Kriterien (STOPP v3, Beers, EU(7)-PIM, PRISCUS v2) identifizierte.</w:t>
      </w:r>
    </w:p>
    <w:p>
      <w:r>
        <w:rPr>
          <w:b/>
        </w:rPr>
        <w:t xml:space="preserve">Ergebnis: </w:t>
      </w:r>
      <w:r>
        <w:t>Mindestens eine PIM fanden sich bei 73% (STOPP), 62% (Beers), 60% (EU(7)-PIM) und 53% (PRISCUS) der Patienten. STOPP identifizierte signifikant mehr PIMs als die anderen Kriterien (p&lt;0,001). Medikamentenlast war in adjustierten Analysen der konsistenteste Risikofaktor für alle Kriterien.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Rumänische Primärversorgung, ähnliche Versicherungssysteme wie Deutschland</w:t>
      </w:r>
    </w:p>
    <w:p>
      <w:r>
        <w:rPr>
          <w:color w:val="5A7D3A"/>
          <w:sz w:val="18"/>
        </w:rPr>
        <w:t>https://pubmed.ncbi.nlm.nih.gov/42796419/</w:t>
      </w:r>
    </w:p>
    <w:p>
      <w:pPr>
        <w:pStyle w:val="Heading2"/>
      </w:pPr>
      <w:r>
        <w:t>Antimikrobielles Stewardship senkt MRSA und multiresistente Enterobakterien</w:t>
      </w:r>
    </w:p>
    <w:p>
      <w:r>
        <w:rPr>
          <w:i/>
          <w:color w:val="666666"/>
          <w:sz w:val="18"/>
        </w:rPr>
        <w:t>Grindean A et al.  ·  Medicina (Kaunas)  ·  11.09.2026  ·  PMID 42796362</w:t>
      </w:r>
    </w:p>
    <w:p>
      <w:r>
        <w:t>Retrospektive Langzeitstudie 2023–2025 eines rumänischen Krankenhauses, die Auswirkungen erhöhter mikrobiologischer Testung und gezieltem Stewardship auf Antibiotikaresistenzen untersuchte.</w:t>
      </w:r>
    </w:p>
    <w:p>
      <w:r>
        <w:rPr>
          <w:b/>
        </w:rPr>
        <w:t xml:space="preserve">Ergebnis: </w:t>
      </w:r>
      <w:r>
        <w:t>E.-coli-MDR sank von 7,4% (Sem. II 2023) auf 0,0% (Sem. II 2025); S.-aureus-MRSA+MLSB von 30,6% auf 0,0%. Mikrobiologische Testintensität stieg von 18,05% auf 28,20%. Durchschnittliche Liegedauer bei Infektionen 15,35 Tage, auf chirurgischen Stationen 20,80 Tage.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Krankenhaus, vergleichbare Hygiene- und Qualitätsziele</w:t>
      </w:r>
    </w:p>
    <w:p>
      <w:r>
        <w:rPr>
          <w:color w:val="5A7D3A"/>
          <w:sz w:val="18"/>
        </w:rPr>
        <w:t>https://pubmed.ncbi.nlm.nih.gov/42796362/</w:t>
      </w:r>
    </w:p>
    <w:p>
      <w:pPr>
        <w:pStyle w:val="Heading2"/>
      </w:pPr>
      <w:r>
        <w:t>Interklinischer Transport bei Neugeborenen-Sepsis: Versorgungskette unterbrochen, Forschung fehlt</w:t>
      </w:r>
    </w:p>
    <w:p>
      <w:r>
        <w:rPr>
          <w:i/>
          <w:color w:val="666666"/>
          <w:sz w:val="18"/>
        </w:rPr>
        <w:t>Damian RO et al.  ·  Medicina (Kaunas)  ·  11.09.2026  ·  PMID 42796359</w:t>
      </w:r>
    </w:p>
    <w:p>
      <w:r>
        <w:t>Scoping Review (39 Quellen, 2020–2026) zu Variablen, Interventionen und Organisationspraktiken beim interklinischen Neugeborenen-Transport im Kontext von Sepsis-Früherkennung und -Behandlung.</w:t>
      </w:r>
    </w:p>
    <w:p>
      <w:r>
        <w:rPr>
          <w:b/>
        </w:rPr>
        <w:t xml:space="preserve">Ergebnis: </w:t>
      </w:r>
      <w:r>
        <w:t>24 indirekt-klinische, 7 indirekt-organisatorische, 4 indirekt-technische, 1 indirekt-experienzielle und 3 direkt-prozess/indirekt-sepsis-Ergebnis-Quellen. Keine Studie zeigte, dass eine Transport-Intervention unabhängig Sepsis-Ergebnisse verbessert. Antimikrobielles Timing, Kulturen, Perfusionsverlauf und strukturierte Handover unterrepräsentiert.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Mehrere europäische Länder eingeschlossen, Organisationslücke übertragbar auf Deutschland</w:t>
      </w:r>
    </w:p>
    <w:p>
      <w:r>
        <w:rPr>
          <w:color w:val="5A7D3A"/>
          <w:sz w:val="18"/>
        </w:rPr>
        <w:t>https://pubmed.ncbi.nlm.nih.gov/42796359/</w:t>
      </w:r>
    </w:p>
    <w:p>
      <w:pPr>
        <w:pStyle w:val="Heading2"/>
      </w:pPr>
      <w:r>
        <w:t>Patientensicherheits-Screening vor bildgebenden Verfahren: Papierformulare dominieren, Standardisierung fehlt</w:t>
      </w:r>
    </w:p>
    <w:p>
      <w:r>
        <w:rPr>
          <w:i/>
          <w:color w:val="666666"/>
          <w:sz w:val="18"/>
        </w:rPr>
        <w:t>Mallinson MA et al.  ·  J Eval Clin Pract  ·  Sept. 2026  ·  PMID 42788779</w:t>
      </w:r>
    </w:p>
    <w:p>
      <w:r>
        <w:t>Freiheitsinformation-Anfrage an 129 englische NHS-Krankenhäuser und private Anbieter zur Nutzung und Gestaltung von Sicherheits-Screening-Formularen vor Diagnostischer Bildgebung.</w:t>
      </w:r>
    </w:p>
    <w:p>
      <w:r>
        <w:rPr>
          <w:b/>
        </w:rPr>
        <w:t xml:space="preserve">Ergebnis: </w:t>
      </w:r>
      <w:r>
        <w:t>Rücklaufquote 83,2%; 91,3% der NHS-Organisationen antworteten. 55,8% beantworteten innerhalb der erwarteten 20 Arbeitstage. Die Mehrheit nutzt Papierformulare; nur eine Organisation setzte vollständig auf digitale Formulare. Erhebliche Inkonsistenzen in Design und Interpretation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(NHS), andere Versorgungsstrukturen, aber vergleichbare Sicherheitsprobleme</w:t>
      </w:r>
    </w:p>
    <w:p>
      <w:r>
        <w:rPr>
          <w:color w:val="5A7D3A"/>
          <w:sz w:val="18"/>
        </w:rPr>
        <w:t>https://pubmed.ncbi.nlm.nih.gov/42788779/</w:t>
      </w:r>
    </w:p>
    <w:p>
      <w:pPr>
        <w:pStyle w:val="Heading2"/>
      </w:pPr>
      <w:r>
        <w:t>Sepsis-Vorhersagemodell LiSep LSTM funktioniert in Europa wie in USA, aber Kalibrierung erforderlich</w:t>
      </w:r>
    </w:p>
    <w:p>
      <w:r>
        <w:rPr>
          <w:i/>
          <w:color w:val="666666"/>
          <w:sz w:val="18"/>
        </w:rPr>
        <w:t>Tan HK et al.  ·  Sci Rep  ·  10.09.2026  ·  PMID 42722695</w:t>
      </w:r>
    </w:p>
    <w:p>
      <w:r>
        <w:t>Validierungsstudie eines Tiefenlern-Modells (LiSep LSTM) zur frühen Vorhersage septischen Schocks, trainiert an US-Daten (MIMIC-III), getestet an europäischer Kohorte (Amsterdam UMC).</w:t>
      </w:r>
    </w:p>
    <w:p>
      <w:r>
        <w:rPr>
          <w:b/>
        </w:rPr>
        <w:t xml:space="preserve">Ergebnis: </w:t>
      </w:r>
      <w:r>
        <w:t>Auf AUMC-Kohorte: AUROC 0,8851 (95%-KI 0,8612–0,909) mit Medianen 47,0 h vor Symptombeginn. Externe Validierung zeigte reduzierte Kalibrierung und Rückruf; gepooltes Training verbesserte AUROC und Brier-Score. Genauigkeit 0,60–0,77, Präzision niedrig (0,01–0,17) aufgrund hoher Falsch-Positive.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Niederlande, externe Validierung ist übertragbar, Lokalanpassung notwendig</w:t>
      </w:r>
    </w:p>
    <w:p>
      <w:r>
        <w:rPr>
          <w:color w:val="5A7D3A"/>
          <w:sz w:val="18"/>
        </w:rPr>
        <w:t>https://pubmed.ncbi.nlm.nih.gov/42722695/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