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17.10.2026  |  6 Studien  |  safety.m-vf.de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Schnelle Mikrodiagnostik bei Bakteriämie verkürzte Antibiotikaanpassung um 16 Stunden</w:t>
      </w:r>
    </w:p>
    <w:p>
      <w:r>
        <w:rPr>
          <w:i/>
          <w:color w:val="666666"/>
          <w:sz w:val="18"/>
        </w:rPr>
        <w:t>Pérez G et al.  ·  Medicina (B Aires)  ·  2026  ·  PMID 42886952</w:t>
      </w:r>
    </w:p>
    <w:p>
      <w:r>
        <w:t>Quasi-experimentelle Studie zur Integration von FilmArray-Schnelldiagnostik in ein Antibiotic-Stewardship-Programm für hospitalisierte Kinder mit Bakteriämie.</w:t>
      </w:r>
    </w:p>
    <w:p>
      <w:r>
        <w:rPr>
          <w:b/>
        </w:rPr>
        <w:t xml:space="preserve">Ergebnis: </w:t>
      </w:r>
      <w:r>
        <w:t>Reportingzeit sank von 26 Stunden auf 6 Stunden (p=0,001); Antibiotikaanpassungen nahmen von 41% auf 55% innerhalb 48 Stunden zu (p=0,02); Tage mit empirischem Meropenem und Vancomycin reduzierten sich signifikant. Intervention optimiert Ressourceneinsatz und Patientensicherheit.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Argentinische Klinikdaten, Organisationsmodell auf deutsches Stewardship übertragbar</w:t>
      </w:r>
    </w:p>
    <w:p>
      <w:r>
        <w:rPr>
          <w:color w:val="5A7D3A"/>
          <w:sz w:val="18"/>
        </w:rPr>
        <w:t>https://pubmed.ncbi.nlm.nih.gov/42886952/</w:t>
      </w:r>
    </w:p>
    <w:p>
      <w:pPr>
        <w:pStyle w:val="Heading2"/>
      </w:pPr>
      <w:r>
        <w:t>VAP-Prävention auf Respiratorischer ICU: MDR-Problematik und höhere Mortalität</w:t>
      </w:r>
    </w:p>
    <w:p>
      <w:r>
        <w:rPr>
          <w:i/>
          <w:color w:val="666666"/>
          <w:sz w:val="18"/>
        </w:rPr>
        <w:t>Pandey R et al.  ·  J Nepal Health Res Counc  ·  15.10.2026  ·  PMID 42881501</w:t>
      </w:r>
    </w:p>
    <w:p>
      <w:r>
        <w:t>Prospektive Beobachtungsstudie zu Prävalenz, Mikrobiologie, Resistenzmustern und Outcomes nosokomialer Infektionen auf einer respiratorischen Intensivstation in Nepal.</w:t>
      </w:r>
    </w:p>
    <w:p>
      <w:r>
        <w:rPr>
          <w:b/>
        </w:rPr>
        <w:t xml:space="preserve">Ergebnis: </w:t>
      </w:r>
      <w:r>
        <w:t>Von 121 Aufnahmen entwickelten 42 Patienten 50 HAI-Episoden (Prävalenz 34,7%); VAP am häufigsten. Acinetobacter baumannii 42%, Klebsiella pneumoniae 18%. Resistenz zu Ceftriaxon, Piperacillin-Tazobactam 85,8%–77,8%, Carbapeneme 92%–90%. Tigecyclin-Resistenz 20% (Acinetobacter), Polymyxin-B-Sensitivität 100%. HAI-Patienten: ICU-Verweildauer länger (9,5 vs. 5,2 Tage; p=0,001), Mortalität höher (28,6% vs. 13,9%; p=0,04).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Nepal, ähnliche Ressourcenlage wie südosteuropäische Länder, begrenzte Übertragbarkeit auf deutsche Strukturen</w:t>
      </w:r>
    </w:p>
    <w:p>
      <w:r>
        <w:rPr>
          <w:color w:val="5A7D3A"/>
          <w:sz w:val="18"/>
        </w:rPr>
        <w:t>https://pubmed.ncbi.nlm.nih.gov/42881501/</w:t>
      </w:r>
    </w:p>
    <w:p>
      <w:pPr>
        <w:pStyle w:val="Heading2"/>
      </w:pPr>
      <w:r>
        <w:t>Blutkultur-Status bei Kindersepsis kein unabhängiger Mortalitätsprädiktor</w:t>
      </w:r>
    </w:p>
    <w:p>
      <w:r>
        <w:rPr>
          <w:i/>
          <w:color w:val="666666"/>
          <w:sz w:val="18"/>
        </w:rPr>
        <w:t>Xing D et al.  ·  Front Cell Infect Microbiol  ·  30.09.2026  ·  PMID 42876847</w:t>
      </w:r>
    </w:p>
    <w:p>
      <w:r>
        <w:t>Retrospektive Kohortenstudie zu 234 Septisepisoden bei 209 pädiatrisch-onkologischen Patienten auf der Pädiatrischen Intensivstation zur Assoziation zwischen Blutkultur-Positivität und stationärer Mortalität.</w:t>
      </w:r>
    </w:p>
    <w:p>
      <w:r>
        <w:rPr>
          <w:b/>
        </w:rPr>
        <w:t xml:space="preserve">Ergebnis: </w:t>
      </w:r>
      <w:r>
        <w:t>Blutkultur-positiv in 48 Episoden (20,5%); Todesfälle in 45 Episoden (19,2%). Nach Adjustierung für Clustering innerhalb Patienten war Blutkultur-Positivität nicht unabhängig mit Mortalität assoziiert (OR=1,412; 95%-KI 0,536–3,719; p=0,485). Höhere Laktat und vasoaktiv-inotroper Score waren unabhängig mit erhöhter Mortalität assoziiert; höhere PaO₂/FiO₂ und Thrombozyten mit niedrigerer. Unterscheidet zwischen echtem Infektionsnachweis und diagnostischen Markern.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immunoinkompetente Hochrisikopopulation, Methodik auf deutsches Sepsis-Management anwendbar</w:t>
      </w:r>
    </w:p>
    <w:p>
      <w:r>
        <w:rPr>
          <w:color w:val="5A7D3A"/>
          <w:sz w:val="18"/>
        </w:rPr>
        <w:t>https://pubmed.ncbi.nlm.nih.gov/42876847/</w:t>
      </w:r>
    </w:p>
    <w:p>
      <w:pPr>
        <w:pStyle w:val="Heading2"/>
      </w:pPr>
      <w:r>
        <w:t>Therapeutische Präsenz und 'Landing Aid' ermöglichen sichere Ketamin-Behandlung in Psychiatrie</w:t>
      </w:r>
    </w:p>
    <w:p>
      <w:r>
        <w:rPr>
          <w:i/>
          <w:color w:val="666666"/>
          <w:sz w:val="18"/>
        </w:rPr>
        <w:t>Kind A et al.  ·  BMC Med Ethics  ·  08.10.2026  ·  PMID 42870247</w:t>
      </w:r>
    </w:p>
    <w:p>
      <w:r>
        <w:t>Qualitative Studie mit Interviews von 14 Patienten und 10 Klinikern zu Sicherheitserleben während Esketamin- oder Ketamin-Infusionsbehandlung in deutschen psychiatrischen Kliniken.</w:t>
      </w:r>
    </w:p>
    <w:p>
      <w:r>
        <w:rPr>
          <w:b/>
        </w:rPr>
        <w:t xml:space="preserve">Ergebnis: </w:t>
      </w:r>
      <w:r>
        <w:t>Drei zentrale Faktoren für Sicherheit identifiziert: therapeutische Präsenz, aktive physische Erdung und strukturierte post-akute Übergangshilfe ('Landing Aid'). Kliniker und Patienten zeigten unterschiedliche Verständnismodelle für Ketamins Wirkmechanismus – Transformation vs. temporäre Symptomlinderung – mit Implikationen für Vorbereitung und Nachsorge. Flexible, patientenzentrierte Pflege über nicht verhandelbarem Sicherheitsminimum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Charité Berlin, vollständig auf deutsche Kliniken übertragbar</w:t>
      </w:r>
    </w:p>
    <w:p>
      <w:r>
        <w:rPr>
          <w:color w:val="5A7D3A"/>
          <w:sz w:val="18"/>
        </w:rPr>
        <w:t>https://pubmed.ncbi.nlm.nih.gov/42870247/</w:t>
      </w:r>
    </w:p>
    <w:p>
      <w:pPr>
        <w:pStyle w:val="Heading2"/>
      </w:pPr>
      <w:r>
        <w:t>Kandidämie-Rate stabil trotz Bevölkerungsalterung: Island 2000–2023</w:t>
      </w:r>
    </w:p>
    <w:p>
      <w:r>
        <w:rPr>
          <w:i/>
          <w:color w:val="666666"/>
          <w:sz w:val="18"/>
        </w:rPr>
        <w:t>Asmundsdottir LR et al.  ·  Euro Surveill  ·  Okt. 2026  ·  PMID 42852522</w:t>
      </w:r>
    </w:p>
    <w:p>
      <w:r>
        <w:t>Bevölkerungsbasierte Langzeitstude zur Epidemiologie der Kandidämie mittels alterstandardisierter Inzidenzraten (ASR) über 24 Jahre mit Vergleich zur kurzfristigen Trendanalyse 2012–2023.</w:t>
      </w:r>
    </w:p>
    <w:p>
      <w:r>
        <w:rPr>
          <w:b/>
        </w:rPr>
        <w:t xml:space="preserve">Ergebnis: </w:t>
      </w:r>
      <w:r>
        <w:t>207 Episoden bei 193 Patienten; langfristige ASR stabil bei durchschnittlich 5,8 pro 100.000 (IRR=1,00 für 2000–2023). Kurzzeitig 2012–2023 Anstieg auf 5,2 pro 100.000 (IRR=1,07; p=0,001), hauptsächlich Männer (IRR=1,10; p=0,001). Hochste altersabhängige Rate bei Männern &gt;80 Jahren (44,0/100.000). Non-albicans-Arten nahmen zu. Fluconazol-Empfindlichkeit hoch (&gt;99% C. albicans), Echinocandin-Resistenz selten (1,9%).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nordeuropäisches Überwachungssystem mit hoher Meldequalität, nicht auf deutsches System übertragbar</w:t>
      </w:r>
    </w:p>
    <w:p>
      <w:r>
        <w:rPr>
          <w:color w:val="5A7D3A"/>
          <w:sz w:val="18"/>
        </w:rPr>
        <w:t>https://pubmed.ncbi.nlm.nih.gov/42852522/</w:t>
      </w:r>
    </w:p>
    <w:p>
      <w:pPr>
        <w:pStyle w:val="Heading2"/>
      </w:pPr>
      <w:r>
        <w:t>Antimicrobial Stewardship in der Wundbehandlung: Fallsammlungen zu früher Intervention</w:t>
      </w:r>
    </w:p>
    <w:p>
      <w:r>
        <w:rPr>
          <w:i/>
          <w:color w:val="666666"/>
          <w:sz w:val="18"/>
        </w:rPr>
        <w:t>Günther B et al.  ·  J Wound Care  ·  08.10.2026  ·  PMID 42847506</w:t>
      </w:r>
    </w:p>
    <w:p>
      <w:r>
        <w:t>Fallsammlungen aus vier europäischen Ländern zur Implementierung von Antimicrobial Stewardship in der Wundbehandlung mit Fokus auf Mikrobien-bindende Verbandsstoffe gemäß neuer internationaler Leitlinien.</w:t>
      </w:r>
    </w:p>
    <w:p>
      <w:r>
        <w:rPr>
          <w:b/>
        </w:rPr>
        <w:t xml:space="preserve">Ergebnis: </w:t>
      </w:r>
      <w:r>
        <w:t>Vier Fallsammlungen (chirurgische Incisionen, schlecht heilende Wunden, diabetische Fußulcera, venöse Beingeschwüre) demonstrieren frühe Intervention nach Stewardship-Prinzipien. Kernerkenntnisse: Zeitpunkt der Intervention, Auswahl von Verbandsstoffen mit antimikrobiellen Eigenschaften und multidisziplinäre Koordination. Praktische Empfehlungen zur Balance zwischen Stewardship und lokaler Wundbehandlung ohne zahlenmäßige Outcome-Daten im Abstract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Portugal, UK, Australien, Kanada – europäisches Stewardship-Konzept, auf deutsche Wundbehandlung übertragbar</w:t>
      </w:r>
    </w:p>
    <w:p>
      <w:r>
        <w:rPr>
          <w:color w:val="5A7D3A"/>
          <w:sz w:val="18"/>
        </w:rPr>
        <w:t>https://pubmed.ncbi.nlm.nih.gov/42847506/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