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28.10.2026  |  4 Studien  |  safety.m-vf.de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Digitalisiertes Nosokomial-Risikomanagement senkte potenzielle Infektionen in Krebsklinik auf null Fälle</w:t>
      </w:r>
    </w:p>
    <w:p>
      <w:r>
        <w:rPr>
          <w:i/>
          <w:color w:val="666666"/>
          <w:sz w:val="18"/>
        </w:rPr>
        <w:t>Tian Q et al.  ·  Front Public Health  ·  12.10.2026  ·  PMID 42935585</w:t>
      </w:r>
    </w:p>
    <w:p>
      <w:r>
        <w:t>Fallbericht einer implementierten Sieben-Säulen-Risikomanagement-Intervention mit digitaler Meldepipeline (Questionnaire Star®, R-Programmierung) an Chinas größtem Krebskrankenhaus vom Januar 2020 bis September 2022 zur Früherkennung und Prävention nosokomialer COVID-19-Infektionen.</w:t>
      </w:r>
    </w:p>
    <w:p>
      <w:r>
        <w:rPr>
          <w:b/>
        </w:rPr>
        <w:t xml:space="preserve">Ergebnis: </w:t>
      </w:r>
      <w:r>
        <w:t>Über 32 Monate: 98 % Impfquote bei Personal (95 % mit Booster), kein nosokomialer COVID-19 bei Patienten oder Personal erkannt. Digitales System verarbeitete Risikodaten nach Submission in 5 Minuten. Systemarchitektur pathogenbewusst ausgelegt, auf künftige Atemwegsepidemien übertragbar. Kausalzusammenhang zwischen Programm und Nullfallzahl nicht isolierbar (parallele Gemeindemaßnahmen).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Aufbau und Umsetzung innovativ; digitales Meldesystem auch für deutsche Kliniken adaptierbar</w:t>
      </w:r>
    </w:p>
    <w:p>
      <w:r>
        <w:rPr>
          <w:color w:val="5A7D3A"/>
          <w:sz w:val="18"/>
        </w:rPr>
        <w:t>https://pubmed.ncbi.nlm.nih.gov/42935585/</w:t>
      </w:r>
    </w:p>
    <w:p>
      <w:pPr>
        <w:pStyle w:val="Heading2"/>
      </w:pPr>
      <w:r>
        <w:t>Antibiotic Stewardship in Vietnam: Neun Schlüsselbereiche für erfolgreiche Implementierung identifiziert</w:t>
      </w:r>
    </w:p>
    <w:p>
      <w:r>
        <w:rPr>
          <w:i/>
          <w:color w:val="666666"/>
          <w:sz w:val="18"/>
        </w:rPr>
        <w:t>Quan PB et al.  ·  Antimicrob Resist Infect Control  ·  28.07.2026  ·  PMID 42934808</w:t>
      </w:r>
    </w:p>
    <w:p>
      <w:r>
        <w:t>Qualitative Studie mit 41 semistrukturierten Interviews bei Ärzten und klinischen Pharmazeuten aus 12 Krankenhäusern in Ho-Chi-Minh-Stadt, Vietnam, um Verhaltensdeterminanten für die Umsetzung von Antibiotic-Stewardship-Programmen (ASP) zu erfassen, analysiert mit Behaviour Change Wheel und Theoretical Domains Framework-14.</w:t>
      </w:r>
    </w:p>
    <w:p>
      <w:r>
        <w:rPr>
          <w:b/>
        </w:rPr>
        <w:t xml:space="preserve">Ergebnis: </w:t>
      </w:r>
      <w:r>
        <w:t>Neun Domänen wurden als prioritär für Interventionen identifiziert: Wissen, Fähigkeiten, professionelle Rolle, Selbstvertrauen in Fähigkeiten, Überzeugungen zu Konsequenzen, Gedächtnis und Entscheidungsprozesse, Umgebungsressourcen, soziale Einflüsse und Verhaltensregulation. Hemmende Faktoren waren nicht lokalisierte Richtlinien, Überbelastung und begrenzte Entscheidungsbefugnisse von Pharmazeuten.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 – grundlegend anderes Gesundheitssystem; Methodik zur Identifikation von Barrieren übertragbar</w:t>
      </w:r>
    </w:p>
    <w:p>
      <w:r>
        <w:rPr>
          <w:color w:val="5A7D3A"/>
          <w:sz w:val="18"/>
        </w:rPr>
        <w:t>https://pubmed.ncbi.nlm.nih.gov/42934808/</w:t>
      </w:r>
    </w:p>
    <w:p>
      <w:pPr>
        <w:pStyle w:val="Heading2"/>
      </w:pPr>
      <w:r>
        <w:t>Vasopressorensteigerung in septischem Schock: Ventrikel-Arterien-Kopplung vorhersagt Kardiovaskuläres Versagen</w:t>
      </w:r>
    </w:p>
    <w:p>
      <w:r>
        <w:rPr>
          <w:i/>
          <w:color w:val="666666"/>
          <w:sz w:val="18"/>
        </w:rPr>
        <w:t>Valenzuela ED et al.  ·  Crit Care  ·  09.09.2026  ·  PMID 42934779</w:t>
      </w:r>
    </w:p>
    <w:p>
      <w:r>
        <w:t>Prospektive physiologische Beobachtungsstudie an 32 beatmeten Patienten mit septischem Schock, die ein transienter mittlerer arterieller Druck-Anstieg von 65 auf 85 mmHg durchliefen; echokardiographische Bestimmung von Herzleistung, arterieller und endsystolischer Elastanz sowie Ventrikel-Arterien-Kopplung.</w:t>
      </w:r>
    </w:p>
    <w:p>
      <w:r>
        <w:rPr>
          <w:b/>
        </w:rPr>
        <w:t xml:space="preserve">Ergebnis: </w:t>
      </w:r>
      <w:r>
        <w:t>Trotz gleicher MAP-Steigerung: 31 % Flow-Rekrutierung, 53 % stabiler Flow, 16 % Flow-Verschlechterung. Flow-Verschlechterung korrelierte mit Verschlechterung der Ventrikel-Arterien-Kopplung (ΔEa/Ees +0,22; p=0,035), niedrigerem LVEF und veränderten venösen Rückstrom-Parametern. VA-Kopplung korrelierte mit IVCT (ρ=0,788) und Schlagvolumen (ρ=−0,418).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Mehrländer-Studiengruppe, physiologische Messungen universell; Entkopplung als Versagensprädiktor</w:t>
      </w:r>
    </w:p>
    <w:p>
      <w:r>
        <w:rPr>
          <w:color w:val="5A7D3A"/>
          <w:sz w:val="18"/>
        </w:rPr>
        <w:t>https://pubmed.ncbi.nlm.nih.gov/42934779/</w:t>
      </w:r>
    </w:p>
    <w:p>
      <w:pPr>
        <w:pStyle w:val="Heading2"/>
      </w:pPr>
      <w:r>
        <w:t>Potenziell unangemessene Medikationen bei älteren Patienten: Jedes weitere Arzneimittel erhöht Risiko um 55 %</w:t>
      </w:r>
    </w:p>
    <w:p>
      <w:r>
        <w:rPr>
          <w:i/>
          <w:color w:val="666666"/>
          <w:sz w:val="18"/>
        </w:rPr>
        <w:t>Akyon SH et al.  ·  BMC Geriatr  ·  22.10.2026  ·  PMID 42934542</w:t>
      </w:r>
    </w:p>
    <w:p>
      <w:r>
        <w:t>Retrospektive Querschnittsanalyse von 397 älteren Patienten in türkischer Geriatrie-Ambulanz zum Zusammenhang zwischen potenziell unangemessenen Medikationen (PIM) und Funktionsstatus mittels standardisierter Kriterien (PRISCUS 2.0, STOPP v3, Beers).</w:t>
      </w:r>
    </w:p>
    <w:p>
      <w:r>
        <w:rPr>
          <w:b/>
        </w:rPr>
        <w:t xml:space="preserve">Ergebnis: </w:t>
      </w:r>
      <w:r>
        <w:t>58,7 % der Patienten erhielten mindestens ein PIM. Im adjustierten Modell war jedes zusätzliche Arzneimittel mit 55 % höherer Wahrscheinlichkeit für PIM-Gebrauch assoziiert (OR 1,55; 95%-KI 1,40–1,73); höherer Katz-ADL-Score reduzierte die Wahrscheinlichkeit (OR 0,73; 95%-KI 0,60–0,87). Medikamentenzahl und Funktionsstatus waren stärkste Prädiktoren für unangemessene Verordnungen.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 Geriatrie-Versorgung; Kriterien auch in Deutschland etabliert</w:t>
      </w:r>
    </w:p>
    <w:p>
      <w:r>
        <w:rPr>
          <w:color w:val="5A7D3A"/>
          <w:sz w:val="18"/>
        </w:rPr>
        <w:t>https://pubmed.ncbi.nlm.nih.gov/42934542/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