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28.10.2026  |  385 Studien  |  safety.m-vf.de</w:t>
      </w:r>
    </w:p>
    <w:p>
      <w:pPr>
        <w:pStyle w:val="Heading1"/>
      </w:pPr>
      <w:r>
        <w:t>Aufgenommen am 28.10.2026</w:t>
      </w:r>
    </w:p>
    <w:p>
      <w:pPr>
        <w:pStyle w:val="Heading2"/>
      </w:pPr>
      <w:r>
        <w:t>Digitalisiertes Nosokomial-Risikomanagement senkte potenzielle Infektionen in Krebsklinik auf null Fälle</w:t>
      </w:r>
    </w:p>
    <w:p>
      <w:r>
        <w:rPr>
          <w:i/>
          <w:color w:val="666666"/>
          <w:sz w:val="18"/>
        </w:rPr>
        <w:t>Tian Q et al.  ·  Front Public Health  ·  12.10.2026  ·  PMID 42935585</w:t>
      </w:r>
    </w:p>
    <w:p>
      <w:r>
        <w:t>Fallbericht einer implementierten Sieben-Säulen-Risikomanagement-Intervention mit digitaler Meldepipeline (Questionnaire Star®, R-Programmierung) an Chinas größtem Krebskrankenhaus vom Januar 2020 bis September 2022 zur Früherkennung und Prävention nosokomialer COVID-19-Infektionen.</w:t>
      </w:r>
    </w:p>
    <w:p>
      <w:r>
        <w:rPr>
          <w:b/>
        </w:rPr>
        <w:t xml:space="preserve">Ergebnis: </w:t>
      </w:r>
      <w:r>
        <w:t>Über 32 Monate: 98 % Impfquote bei Personal (95 % mit Booster), kein nosokomialer COVID-19 bei Patienten oder Personal erkannt. Digitales System verarbeitete Risikodaten nach Submission in 5 Minuten. Systemarchitektur pathogenbewusst ausgelegt, auf künftige Atemwegsepidemien übertragbar. Kausalzusammenhang zwischen Programm und Nullfallzahl nicht isolierbar (parallele Gemeindemaßnahmen).</w:t>
      </w:r>
    </w:p>
    <w:p>
      <w:r>
        <w:rPr>
          <w:b/>
          <w:sz w:val="19"/>
        </w:rPr>
        <w:t xml:space="preserve">Übertragbarkeit: </w:t>
      </w:r>
      <w:r>
        <w:rPr>
          <w:sz w:val="19"/>
        </w:rPr>
        <w:t>China – Aufbau und Umsetzung innovativ; digitales Meldesystem auch für deutsche Kliniken adaptierbar</w:t>
      </w:r>
    </w:p>
    <w:p>
      <w:r>
        <w:rPr>
          <w:color w:val="5A7D3A"/>
          <w:sz w:val="18"/>
        </w:rPr>
        <w:t>https://pubmed.ncbi.nlm.nih.gov/42935585/</w:t>
      </w:r>
    </w:p>
    <w:p>
      <w:pPr>
        <w:pStyle w:val="Heading2"/>
      </w:pPr>
      <w:r>
        <w:t>Antibiotic Stewardship in Vietnam: Neun Schlüsselbereiche für erfolgreiche Implementierung identifiziert</w:t>
      </w:r>
    </w:p>
    <w:p>
      <w:r>
        <w:rPr>
          <w:i/>
          <w:color w:val="666666"/>
          <w:sz w:val="18"/>
        </w:rPr>
        <w:t>Quan PB et al.  ·  Antimicrob Resist Infect Control  ·  28.07.2026  ·  PMID 42934808</w:t>
      </w:r>
    </w:p>
    <w:p>
      <w:r>
        <w:t>Qualitative Studie mit 41 semistrukturierten Interviews bei Ärzten und klinischen Pharmazeuten aus 12 Krankenhäusern in Ho-Chi-Minh-Stadt, Vietnam, um Verhaltensdeterminanten für die Umsetzung von Antibiotic-Stewardship-Programmen (ASP) zu erfassen, analysiert mit Behaviour Change Wheel und Theoretical Domains Framework-14.</w:t>
      </w:r>
    </w:p>
    <w:p>
      <w:r>
        <w:rPr>
          <w:b/>
        </w:rPr>
        <w:t xml:space="preserve">Ergebnis: </w:t>
      </w:r>
      <w:r>
        <w:t>Neun Domänen wurden als prioritär für Interventionen identifiziert: Wissen, Fähigkeiten, professionelle Rolle, Selbstvertrauen in Fähigkeiten, Überzeugungen zu Konsequenzen, Gedächtnis und Entscheidungsprozesse, Umgebungsressourcen, soziale Einflüsse und Verhaltensregulation. Hemmende Faktoren waren nicht lokalisierte Richtlinien, Überbelastung und begrenzte Entscheidungsbefugnisse von Pharmazeuten.</w:t>
      </w:r>
    </w:p>
    <w:p>
      <w:r>
        <w:rPr>
          <w:b/>
          <w:sz w:val="19"/>
        </w:rPr>
        <w:t xml:space="preserve">Übertragbarkeit: </w:t>
      </w:r>
      <w:r>
        <w:rPr>
          <w:sz w:val="19"/>
        </w:rPr>
        <w:t>Vietnam – grundlegend anderes Gesundheitssystem; Methodik zur Identifikation von Barrieren übertragbar</w:t>
      </w:r>
    </w:p>
    <w:p>
      <w:r>
        <w:rPr>
          <w:color w:val="5A7D3A"/>
          <w:sz w:val="18"/>
        </w:rPr>
        <w:t>https://pubmed.ncbi.nlm.nih.gov/42934808/</w:t>
      </w:r>
    </w:p>
    <w:p>
      <w:pPr>
        <w:pStyle w:val="Heading2"/>
      </w:pPr>
      <w:r>
        <w:t>Vasopressorensteigerung in septischem Schock: Ventrikel-Arterien-Kopplung vorhersagt Kardiovaskuläres Versagen</w:t>
      </w:r>
    </w:p>
    <w:p>
      <w:r>
        <w:rPr>
          <w:i/>
          <w:color w:val="666666"/>
          <w:sz w:val="18"/>
        </w:rPr>
        <w:t>Valenzuela ED et al.  ·  Crit Care  ·  09.09.2026  ·  PMID 42934779</w:t>
      </w:r>
    </w:p>
    <w:p>
      <w:r>
        <w:t>Prospektive physiologische Beobachtungsstudie an 32 beatmeten Patienten mit septischem Schock, die ein transienter mittlerer arterieller Druck-Anstieg von 65 auf 85 mmHg durchliefen; echokardiographische Bestimmung von Herzleistung, arterieller und endsystolischer Elastanz sowie Ventrikel-Arterien-Kopplung.</w:t>
      </w:r>
    </w:p>
    <w:p>
      <w:r>
        <w:rPr>
          <w:b/>
        </w:rPr>
        <w:t xml:space="preserve">Ergebnis: </w:t>
      </w:r>
      <w:r>
        <w:t>Trotz gleicher MAP-Steigerung: 31 % Flow-Rekrutierung, 53 % stabiler Flow, 16 % Flow-Verschlechterung. Flow-Verschlechterung korrelierte mit Verschlechterung der Ventrikel-Arterien-Kopplung (ΔEa/Ees +0,22; p=0,035), niedrigerem LVEF und veränderten venösen Rückstrom-Parametern. VA-Kopplung korrelierte mit IVCT (ρ=0,788) und Schlagvolumen (ρ=−0,418).</w:t>
      </w:r>
    </w:p>
    <w:p>
      <w:r>
        <w:rPr>
          <w:b/>
          <w:sz w:val="19"/>
        </w:rPr>
        <w:t xml:space="preserve">Übertragbarkeit: </w:t>
      </w:r>
      <w:r>
        <w:rPr>
          <w:sz w:val="19"/>
        </w:rPr>
        <w:t>Mehrländer-Studiengruppe, physiologische Messungen universell; Entkopplung als Versagensprädiktor</w:t>
      </w:r>
    </w:p>
    <w:p>
      <w:r>
        <w:rPr>
          <w:color w:val="5A7D3A"/>
          <w:sz w:val="18"/>
        </w:rPr>
        <w:t>https://pubmed.ncbi.nlm.nih.gov/42934779/</w:t>
      </w:r>
    </w:p>
    <w:p>
      <w:pPr>
        <w:pStyle w:val="Heading2"/>
      </w:pPr>
      <w:r>
        <w:t>Potenziell unangemessene Medikationen bei älteren Patienten: Jedes weitere Arzneimittel erhöht Risiko um 55 %</w:t>
      </w:r>
    </w:p>
    <w:p>
      <w:r>
        <w:rPr>
          <w:i/>
          <w:color w:val="666666"/>
          <w:sz w:val="18"/>
        </w:rPr>
        <w:t>Akyon SH et al.  ·  BMC Geriatr  ·  22.10.2026  ·  PMID 42934542</w:t>
      </w:r>
    </w:p>
    <w:p>
      <w:r>
        <w:t>Retrospektive Querschnittsanalyse von 397 älteren Patienten in türkischer Geriatrie-Ambulanz zum Zusammenhang zwischen potenziell unangemessenen Medikationen (PIM) und Funktionsstatus mittels standardisierter Kriterien (PRISCUS 2.0, STOPP v3, Beers).</w:t>
      </w:r>
    </w:p>
    <w:p>
      <w:r>
        <w:rPr>
          <w:b/>
        </w:rPr>
        <w:t xml:space="preserve">Ergebnis: </w:t>
      </w:r>
      <w:r>
        <w:t>58,7 % der Patienten erhielten mindestens ein PIM. Im adjustierten Modell war jedes zusätzliche Arzneimittel mit 55 % höherer Wahrscheinlichkeit für PIM-Gebrauch assoziiert (OR 1,55; 95%-KI 1,40–1,73); höherer Katz-ADL-Score reduzierte die Wahrscheinlichkeit (OR 0,73; 95%-KI 0,60–0,87). Medikamentenzahl und Funktionsstatus waren stärkste Prädiktoren für unangemessene Verordnungen.</w:t>
      </w:r>
    </w:p>
    <w:p>
      <w:r>
        <w:rPr>
          <w:b/>
          <w:sz w:val="19"/>
        </w:rPr>
        <w:t xml:space="preserve">Übertragbarkeit: </w:t>
      </w:r>
      <w:r>
        <w:rPr>
          <w:sz w:val="19"/>
        </w:rPr>
        <w:t>Türkei, vergleichbare Geriatrie-Versorgung; Kriterien auch in Deutschland etabliert</w:t>
      </w:r>
    </w:p>
    <w:p>
      <w:r>
        <w:rPr>
          <w:color w:val="5A7D3A"/>
          <w:sz w:val="18"/>
        </w:rPr>
        <w:t>https://pubmed.ncbi.nlm.nih.gov/42934542/</w:t>
      </w:r>
    </w:p>
    <w:p>
      <w:pPr>
        <w:pStyle w:val="Heading1"/>
      </w:pPr>
      <w:r>
        <w:t>Aufgenommen am 27.10.2026</w:t>
      </w:r>
    </w:p>
    <w:p>
      <w:pPr>
        <w:pStyle w:val="Heading2"/>
      </w:pPr>
      <w:r>
        <w:t>Mesh-Infektionen nach Hernienchirurgie sind kein Haftungszeichen ohne Nachweis fehlender Prävention</w:t>
      </w:r>
    </w:p>
    <w:p>
      <w:r>
        <w:rPr>
          <w:i/>
          <w:color w:val="666666"/>
          <w:sz w:val="18"/>
        </w:rPr>
        <w:t>Matteucci M et al.  ·  Hernia  ·  26.10.2026  ·  PMID 42931966</w:t>
      </w:r>
    </w:p>
    <w:p>
      <w:r>
        <w:t>Italienische retrospektive Analyse von 14 gerichtlichen Entscheidungen (13 klinische Episoden) zu Mesh-Infektionen nach Bauchwandhernienreparatur; Fokus auf medizinisch-rechtliche Merkmale, CTU-Bewertungen und Haftungsurteile.</w:t>
      </w:r>
    </w:p>
    <w:p>
      <w:r>
        <w:rPr>
          <w:b/>
        </w:rPr>
        <w:t xml:space="preserve">Ergebnis: </w:t>
      </w:r>
      <w:r>
        <w:t>Kausalzusammenhang zwischen Perioperativmanagement und Infektion wurde in 46,2 % (6/13 Fälle) nachgewiesen und ausgeschlossen in den übrigen. Haftung war häufiger assoziiert mit Unvermögen, Einhaltung akzeptierter Präventionsstandards zu belegen als mit bloßem Auftreten der Infektion. Mängel bei Aufklärung waren häufig erwähnt, führten aber nicht eigenständig zu Entschädigung.</w:t>
      </w:r>
    </w:p>
    <w:p>
      <w:r>
        <w:rPr>
          <w:b/>
          <w:sz w:val="19"/>
        </w:rPr>
        <w:t xml:space="preserve">Übertragbarkeit: </w:t>
      </w:r>
      <w:r>
        <w:rPr>
          <w:sz w:val="19"/>
        </w:rPr>
        <w:t>Italien, italienisches Haftungsrecht ohne Verschuldungsvermutung; Deutschland: anderes Entschädigungssystem mit § 630h BGB</w:t>
      </w:r>
    </w:p>
    <w:p>
      <w:r>
        <w:rPr>
          <w:color w:val="5A7D3A"/>
          <w:sz w:val="18"/>
        </w:rPr>
        <w:t>https://pubmed.ncbi.nlm.nih.gov/42931966/</w:t>
      </w:r>
    </w:p>
    <w:p>
      <w:pPr>
        <w:pStyle w:val="Heading2"/>
      </w:pPr>
      <w:r>
        <w:t>Risiko-adjustiertes Benchmarking senkt Sepsis-Sterblichkeit in katalanischem Überwachungssystem</w:t>
      </w:r>
    </w:p>
    <w:p>
      <w:r>
        <w:rPr>
          <w:i/>
          <w:color w:val="666666"/>
          <w:sz w:val="18"/>
        </w:rPr>
        <w:t>Reina-Aguilar C et al.  ·  Med Sci (Basel)  ·  29.09.2026  ·  PMID 42930535</w:t>
      </w:r>
    </w:p>
    <w:p>
      <w:r>
        <w:t>Katalanisches populationsbasiertes administratives Überwachungssystem (RADAR-Septic Shock) erfasste alle 37.855 Episoden septischen Schocks 2018–2024 und analysierte Epidemiologie, Outcome und Variations in Mortalität zwischen Krankenhäusern mittels Observed-to-Expected-Ratios.</w:t>
      </w:r>
    </w:p>
    <w:p>
      <w:r>
        <w:rPr>
          <w:b/>
        </w:rPr>
        <w:t xml:space="preserve">Ergebnis: </w:t>
      </w:r>
      <w:r>
        <w:t>2024 wurden 6.522 Episoden erfasst (Inzidenz 80,28 pro 100.000 Einwohner/Jahr). Gesamt-Krankenhaussterblichkeit 36,7 %, steigend auf 49,5 % bei nosokomialem septischem Schock. Mortalität sank über den Studienzeitraum kontinuierlich, außer während COVID-19-Pandemie. Risk-adjustiertes Benchmarking identifizierte erhebliche Outcome-Variation zwischen Kliniken, unterstützend für Qualitätsverbesserungen.</w:t>
      </w:r>
    </w:p>
    <w:p>
      <w:r>
        <w:rPr>
          <w:b/>
          <w:sz w:val="19"/>
        </w:rPr>
        <w:t xml:space="preserve">Übertragbarkeit: </w:t>
      </w:r>
      <w:r>
        <w:rPr>
          <w:sz w:val="19"/>
        </w:rPr>
        <w:t>Spanien/Katalonien, administratives System ähnlich deutschem DRG-Kontext, europäisch vergleichbar</w:t>
      </w:r>
    </w:p>
    <w:p>
      <w:r>
        <w:rPr>
          <w:color w:val="5A7D3A"/>
          <w:sz w:val="18"/>
        </w:rPr>
        <w:t>https://pubmed.ncbi.nlm.nih.gov/42930535/</w:t>
      </w:r>
    </w:p>
    <w:p>
      <w:pPr>
        <w:pStyle w:val="Heading2"/>
      </w:pPr>
      <w:r>
        <w:t>Strukturierter Konsens zu Endotoxin-Hemoadsorption verbessert Implementierung im septischen Schock</w:t>
      </w:r>
    </w:p>
    <w:p>
      <w:r>
        <w:rPr>
          <w:i/>
          <w:color w:val="666666"/>
          <w:sz w:val="18"/>
        </w:rPr>
        <w:t>Yessayan L et al.  ·  Crit Care  ·  29.07.2026  ·  PMID 42928302</w:t>
      </w:r>
    </w:p>
    <w:p>
      <w:r>
        <w:t>Modifizierter Delphi-Prozess mit 10 Expertinnen und Experten (Intensivmedizin, Nephrologie) zu Kriterien für Patient*innenauswahl, Endotoxin-Activity-Assay-Interpretation und praktische Anwendung von Polymyxin-B-Hemoadsorption (PMX-HA) bei septischem Schock.</w:t>
      </w:r>
    </w:p>
    <w:p>
      <w:r>
        <w:rPr>
          <w:b/>
        </w:rPr>
        <w:t xml:space="preserve">Ergebnis: </w:t>
      </w:r>
      <w:r>
        <w:t>Konsens (≥80 %) erreicht in 20 Aussagen über drei Domänen: (1) Kriterien zur Endotoxämie-Prüfung; (2) EAA-Schwellwert ≥0,60 und &lt;0,90 zur PMX-HA-Erwägung; (3) frühestmöglicher Therapiebeginn (≤36 h nach Schock-Beginn), zwei Sitzungen 24 h auseinander, je 120 min, Multidisziplinarmodell. Identifizierte Forschungsprioritäten: Behandlungseffekt-Heterogenität, EAA-Kinetik, Implementierung.</w:t>
      </w:r>
    </w:p>
    <w:p>
      <w:r>
        <w:rPr>
          <w:b/>
          <w:sz w:val="19"/>
        </w:rPr>
        <w:t xml:space="preserve">Übertragbarkeit: </w:t>
      </w:r>
      <w:r>
        <w:rPr>
          <w:sz w:val="19"/>
        </w:rPr>
        <w:t>USA/internationale Expert*innen, Gerüst für Versorgungsumsetzung auch in Deutschland nutzbar</w:t>
      </w:r>
    </w:p>
    <w:p>
      <w:r>
        <w:rPr>
          <w:color w:val="5A7D3A"/>
          <w:sz w:val="18"/>
        </w:rPr>
        <w:t>https://pubmed.ncbi.nlm.nih.gov/42928302/</w:t>
      </w:r>
    </w:p>
    <w:p>
      <w:pPr>
        <w:pStyle w:val="Heading2"/>
      </w:pPr>
      <w:r>
        <w:t>Unangemessene Medikation erhöht Hospitalisierungen bei älteren Patienten um 118 %</w:t>
      </w:r>
    </w:p>
    <w:p>
      <w:r>
        <w:rPr>
          <w:i/>
          <w:color w:val="666666"/>
          <w:sz w:val="18"/>
        </w:rPr>
        <w:t>Lim J et al.  ·  BMC Geriatr  ·  28.07.2026  ·  PMID 42928106</w:t>
      </w:r>
    </w:p>
    <w:p>
      <w:r>
        <w:t>Südkoreanische propensity-score-gematchte Kohortenstudie (NHIS-ECDB 2015–2018) zu Assoziation zwischen Medikationsfehlern (PIM) und Hospitalisierungs-, Notfall- und Kostenfolgen bei älteren Erwachsenen (≥65 Jahre).</w:t>
      </w:r>
    </w:p>
    <w:p>
      <w:r>
        <w:rPr>
          <w:b/>
        </w:rPr>
        <w:t xml:space="preserve">Ergebnis: </w:t>
      </w:r>
      <w:r>
        <w:t>3.896 gematched Patienten (1.948 PIM-Nutzer, 1.948 Kontrollen). PIM-Nutzer hatten signifikant höheres Hospitalisierungsrisiko (adjustierte HR 2,18, 95%-KI 1,81–2,63) und Notfallbesuche (aHR 3,08, 95%-KI 2,01–4,72). Gesamtkosten 40 % höher (adjustierte Kostenrate 1,4, 95%-KI 1,35–1,54). Mehr PIMs korreliert mit höheren Kosten.</w:t>
      </w:r>
    </w:p>
    <w:p>
      <w:r>
        <w:rPr>
          <w:b/>
          <w:sz w:val="19"/>
        </w:rPr>
        <w:t xml:space="preserve">Übertragbarkeit: </w:t>
      </w:r>
      <w:r>
        <w:rPr>
          <w:sz w:val="19"/>
        </w:rPr>
        <w:t>Südkorea, ähnliche Versicherungsstruktur, Befund zu Medikationsfehlern übertragbar</w:t>
      </w:r>
    </w:p>
    <w:p>
      <w:r>
        <w:rPr>
          <w:color w:val="5A7D3A"/>
          <w:sz w:val="18"/>
        </w:rPr>
        <w:t>https://pubmed.ncbi.nlm.nih.gov/42928106/</w:t>
      </w:r>
    </w:p>
    <w:p>
      <w:pPr>
        <w:pStyle w:val="Heading2"/>
      </w:pPr>
      <w:r>
        <w:t>Ambulante intravenöse Antibiotikabehandlung reduziert Infektions-Rehospitalisierung bei komplexen Patienten</w:t>
      </w:r>
    </w:p>
    <w:p>
      <w:r>
        <w:rPr>
          <w:i/>
          <w:color w:val="666666"/>
          <w:sz w:val="18"/>
        </w:rPr>
        <w:t>Noble AL et al.  ·  J Antimicrob Chemother  ·  06.10.2026  ·  PMID 42910527</w:t>
      </w:r>
    </w:p>
    <w:p>
      <w:r>
        <w:t>Britische aktualisierte Empfehlungen zu ambulanter parenteraler Antibiotikabehandlung (OPAT) basierend auf systematischer Literaturrecherche und Expertenkonsens mit fünf neuen und zwei geänderten Empfehlungen zu Eigenverabreichung, vulnerable Gruppen, Patient*innen-Schulung und Überwachungsprotokolle.</w:t>
      </w:r>
    </w:p>
    <w:p>
      <w:r>
        <w:rPr>
          <w:b/>
        </w:rPr>
        <w:t xml:space="preserve">Ergebnis: </w:t>
      </w:r>
      <w:r>
        <w:t>Empfehlungen betonen Selbstverabreichung, individualisierte Schulung, erweiterte Monitoringprotokolle bei komplexen oralen Regimen und neuen parenteralen Routen sowie gerechte Versorgungszugang. Literatur dokumentiert steigende Sicherheit von OPAT bei komplexen und komorbiditätsreichen Patient*innen sowie Verbesserung von Antibiotic Stewardship und klinischer Versorgung.</w:t>
      </w:r>
    </w:p>
    <w:p>
      <w:r>
        <w:rPr>
          <w:b/>
          <w:sz w:val="19"/>
        </w:rPr>
        <w:t xml:space="preserve">Übertragbarkeit: </w:t>
      </w:r>
      <w:r>
        <w:rPr>
          <w:sz w:val="19"/>
        </w:rPr>
        <w:t>Grossbritannien, europäisches Gesundheitssystem, Stewardship-Konzepte auch auf Deutschland übertragbar</w:t>
      </w:r>
    </w:p>
    <w:p>
      <w:r>
        <w:rPr>
          <w:color w:val="5A7D3A"/>
          <w:sz w:val="18"/>
        </w:rPr>
        <w:t>https://pubmed.ncbi.nlm.nih.gov/42910527/</w:t>
      </w:r>
    </w:p>
    <w:p>
      <w:pPr>
        <w:pStyle w:val="Heading2"/>
      </w:pPr>
      <w:r>
        <w:t>Frühe Erkennung senkt Langzeitfolgen bei Streptokokken-Gelenkinfektionen bei Kindern</w:t>
      </w:r>
    </w:p>
    <w:p>
      <w:r>
        <w:rPr>
          <w:i/>
          <w:color w:val="666666"/>
          <w:sz w:val="18"/>
        </w:rPr>
        <w:t>Pigeolet M et al.  ·  J Infect  ·  10.09.2026  ·  PMID 42722237</w:t>
      </w:r>
    </w:p>
    <w:p>
      <w:r>
        <w:t>Nationale französische Kohortenstudie mit verschachteltem Fall-Kontroll-Design zu Epidemiologie und Langzeitfolgen von Gelenkinfektionen mit Gruppe-A-Streptokokken (GAS) versus anderen Erregern bei Kindern 2010–2023.</w:t>
      </w:r>
    </w:p>
    <w:p>
      <w:r>
        <w:rPr>
          <w:b/>
        </w:rPr>
        <w:t xml:space="preserve">Ergebnis: </w:t>
      </w:r>
      <w:r>
        <w:t>Verzögerter Symptombeginn bis zur Behandlung war unabhängiger Prädiktor schlechterer Outcomes: Jeder zusätzliche Tag Symptomatik vor Therapie erhöhte Folgeschäden um 8 % (OR 1,08 pro Tag, 95%-KI 1,03–1,12). Concurrent-Osteomyelitis und Reintervention waren assoziiert mit Folgeschäden (OR 4,47 bzw. 3,64). GAS verursachte etwa ein Drittel der Fälle mit Sequelzen vergleichbar zu S. aureus (24,8 % vs. 41,7 %).</w:t>
      </w:r>
    </w:p>
    <w:p>
      <w:r>
        <w:rPr>
          <w:b/>
          <w:sz w:val="19"/>
        </w:rPr>
        <w:t xml:space="preserve">Übertragbarkeit: </w:t>
      </w:r>
      <w:r>
        <w:rPr>
          <w:sz w:val="19"/>
        </w:rPr>
        <w:t>Frankreich, deutsche Gesundheitssysteme ähnlich, nationale Kohortendaten vergleichbar</w:t>
      </w:r>
    </w:p>
    <w:p>
      <w:r>
        <w:rPr>
          <w:color w:val="5A7D3A"/>
          <w:sz w:val="18"/>
        </w:rPr>
        <w:t>https://pubmed.ncbi.nlm.nih.gov/42722237/</w:t>
      </w:r>
    </w:p>
    <w:p>
      <w:pPr>
        <w:pStyle w:val="Heading1"/>
      </w:pPr>
      <w:r>
        <w:t>Aufgenommen am 26.10.2026</w:t>
      </w:r>
    </w:p>
    <w:p>
      <w:pPr>
        <w:pStyle w:val="Heading2"/>
      </w:pPr>
      <w:r>
        <w:t>Infektionspräventions-Bundles auf Intensivstationen senken nosokomiale Infektionen um bis zu 63 %</w:t>
      </w:r>
    </w:p>
    <w:p>
      <w:r>
        <w:rPr>
          <w:i/>
          <w:color w:val="666666"/>
          <w:sz w:val="18"/>
        </w:rPr>
        <w:t>Ageel MA et al.  ·  Clin Ter  ·  Nov. 2026  ·  PMID 42922243</w:t>
      </w:r>
    </w:p>
    <w:p>
      <w:r>
        <w:t>Systematische Übersicht von 17 Studien zu Qualitätsverbesserungsmaßnahmen gegen Krankenhausinfektionen bei neurochirurgischen ICU-Patienten, mit Fokus auf Device-assoziierte Infektionen.</w:t>
      </w:r>
    </w:p>
    <w:p>
      <w:r>
        <w:rPr>
          <w:b/>
        </w:rPr>
        <w:t xml:space="preserve">Ergebnis: </w:t>
      </w:r>
      <w:r>
        <w:t>EVD-spezifische Care-Bundles senkten EVD-assoziierte Infektionen von 14,35 auf 3,21 pro 1.000 Kathetertage (77 % Reduktion). VAP-Raten sanken von 68,2 auf 47,4 pro 1.000 Beatmungstage, CAUTI von 24,9 auf 13,4 pro 1.000 Kathetertage. Eine Studie meldete 20 aufeinanderfolgende infektionsfreie Monate. CLABSI-Raten erreichten null in einer Studie mit kontinuierlichem Monitoring.</w:t>
      </w:r>
    </w:p>
    <w:p>
      <w:r>
        <w:rPr>
          <w:b/>
          <w:sz w:val="19"/>
        </w:rPr>
        <w:t xml:space="preserve">Übertragbarkeit: </w:t>
      </w:r>
      <w:r>
        <w:rPr>
          <w:sz w:val="19"/>
        </w:rPr>
        <w:t>Studien aus 14 Ländern, überwiegend standardisierte Protokolle, auf deutsche Strukturen übertragbar</w:t>
      </w:r>
    </w:p>
    <w:p>
      <w:r>
        <w:rPr>
          <w:color w:val="5A7D3A"/>
          <w:sz w:val="18"/>
        </w:rPr>
        <w:t>https://pubmed.ncbi.nlm.nih.gov/42922243/</w:t>
      </w:r>
    </w:p>
    <w:p>
      <w:pPr>
        <w:pStyle w:val="Heading2"/>
      </w:pPr>
      <w:r>
        <w:t>Infektionsprävention in Psychiatrien: Multidisziplinäre Intervention senkt MRSA und CRPA</w:t>
      </w:r>
    </w:p>
    <w:p>
      <w:r>
        <w:rPr>
          <w:i/>
          <w:color w:val="666666"/>
          <w:sz w:val="18"/>
        </w:rPr>
        <w:t>Du J et al.  ·  Front Cell Infect Microbiol  ·  09.10.2026  ·  PMID 42920550</w:t>
      </w:r>
    </w:p>
    <w:p>
      <w:r>
        <w:t>Entwicklung und Anwendung des MISCP-S-Modells (Multidisziplinäre Zusammenarbeit, Informatisierung, Staffelschulung, Anreize, Prozessoptimierung) in einer psychiatrischen Tertiärklinik mit Vergleich von 1343 Fällen vorher und 677 nachher.</w:t>
      </w:r>
    </w:p>
    <w:p>
      <w:r>
        <w:rPr>
          <w:b/>
        </w:rPr>
        <w:t xml:space="preserve">Ergebnis: </w:t>
      </w:r>
      <w:r>
        <w:t>Pathogendetektions-Beprobungsrate stieg von 69,47 % auf 98,38 %. Testangemessenheit: 100 %. Therapeutische Antibiotikaverwendung sank von 16,03 % auf 14,61 %. Multidrug-resistente Organismen (MDRO) sanken von 37,44 % auf 33,74 %. MRSA-Nachweise sanken, ebenso carbapenem-resistente Pseudomonas aeruginosa. Carbapenem-resistente Enterobacterales stiegen von 14,35 % auf 23,56 %.</w:t>
      </w:r>
    </w:p>
    <w:p>
      <w:r>
        <w:rPr>
          <w:b/>
          <w:sz w:val="19"/>
        </w:rPr>
        <w:t xml:space="preserve">Übertragbarkeit: </w:t>
      </w:r>
      <w:r>
        <w:rPr>
          <w:sz w:val="19"/>
        </w:rPr>
        <w:t>China, psychiatrische Spezialisierung; zeigt Potenzial für adaptierte Stewardship-Modelle</w:t>
      </w:r>
    </w:p>
    <w:p>
      <w:r>
        <w:rPr>
          <w:color w:val="5A7D3A"/>
          <w:sz w:val="18"/>
        </w:rPr>
        <w:t>https://pubmed.ncbi.nlm.nih.gov/42920550/</w:t>
      </w:r>
    </w:p>
    <w:p>
      <w:pPr>
        <w:pStyle w:val="Heading2"/>
      </w:pPr>
      <w:r>
        <w:t>Strukturiertes AMR-Surveillance stärkt Stewardship-Wissen und Praxis in Krankenhäusern Malawis</w:t>
      </w:r>
    </w:p>
    <w:p>
      <w:r>
        <w:rPr>
          <w:i/>
          <w:color w:val="666666"/>
          <w:sz w:val="18"/>
        </w:rPr>
        <w:t>Matemvu Z et al.  ·  Antimicrob Resist Infect Control  ·  27.07.2026  ·  PMID 42920193</w:t>
      </w:r>
    </w:p>
    <w:p>
      <w:r>
        <w:t>Quasi-experimentale Evaluierung einer dreijährigen AMR-Überwachungs- und Kapazitätsaufbau-Intervention an einem Tertiärkrankenhaus in Malawi mit Assessments von Fachkräften und Patientenaktenreview.</w:t>
      </w:r>
    </w:p>
    <w:p>
      <w:r>
        <w:rPr>
          <w:b/>
        </w:rPr>
        <w:t xml:space="preserve">Ergebnis: </w:t>
      </w:r>
      <w:r>
        <w:t>Wissen des nationalen AMR-Aktionsplans stieg von 13,6 % auf 45,6 %. Laboranforderungsformulare komplett ausgefüllt: 48,6 % auf 73,9 %. Klinische Resistenztestung verbesserte sich. Empirische Antibiotikaverordnung bei Aufnahme änderte sich nicht signifikant. Wissens-Praxis-Lücke blieb bestehen. Verbesserungen durch nationale Politikalignment und Krankenhausleitung gefördert; elektronische Systeme und Praxiswechsel limitierten Fortschritt.</w:t>
      </w:r>
    </w:p>
    <w:p>
      <w:r>
        <w:rPr>
          <w:b/>
          <w:sz w:val="19"/>
        </w:rPr>
        <w:t xml:space="preserve">Übertragbarkeit: </w:t>
      </w:r>
      <w:r>
        <w:rPr>
          <w:sz w:val="19"/>
        </w:rPr>
        <w:t>Malawi, ressourcenlimitiert; zeigt Machbarkeit strukturierter Überwachung auch in ärmeren Settings</w:t>
      </w:r>
    </w:p>
    <w:p>
      <w:r>
        <w:rPr>
          <w:color w:val="5A7D3A"/>
          <w:sz w:val="18"/>
        </w:rPr>
        <w:t>https://pubmed.ncbi.nlm.nih.gov/42920193/</w:t>
      </w:r>
    </w:p>
    <w:p>
      <w:pPr>
        <w:pStyle w:val="Heading2"/>
      </w:pPr>
      <w:r>
        <w:t>Inflammatorischer Belastungsindex unterscheidet Sepsis von unkomplizierter Pneumonie bei Neugeborenen</w:t>
      </w:r>
    </w:p>
    <w:p>
      <w:r>
        <w:rPr>
          <w:i/>
          <w:color w:val="666666"/>
          <w:sz w:val="18"/>
        </w:rPr>
        <w:t>Li C et al.  ·  BMC Infect Dis  ·  12.10.2026  ·  PMID 42919222</w:t>
      </w:r>
    </w:p>
    <w:p>
      <w:r>
        <w:t>Retrospektive Analyse von 1383 hospitalisierten Neugeborenen (935 mit Pneumonie, 448 mit Pneumonie kompliziert durch Sepsis) zur Bewertung des inflammatorischen Belastungsindex (IBI) als Differenzierungsmarker.</w:t>
      </w:r>
    </w:p>
    <w:p>
      <w:r>
        <w:rPr>
          <w:b/>
        </w:rPr>
        <w:t xml:space="preserve">Ergebnis: </w:t>
      </w:r>
      <w:r>
        <w:t>IBI-Werte signifikant höher in der Sepsis-Gruppe (p &lt; 0,001). Nach Adjustierung für Confounder blieb erhöhtes IBI unabhängig mit erhöhter Sepsisprävalenz assoziiert. ROC-Analyse: AUC 0,76 (95 % KI 0,73–0,79, p &lt; 0,001). IBI als nicht-invasiver Begleitmarker bei initialer Sepsisbewertung geeignet.</w:t>
      </w:r>
    </w:p>
    <w:p>
      <w:r>
        <w:rPr>
          <w:b/>
          <w:sz w:val="19"/>
        </w:rPr>
        <w:t xml:space="preserve">Übertragbarkeit: </w:t>
      </w:r>
      <w:r>
        <w:rPr>
          <w:sz w:val="19"/>
        </w:rPr>
        <w:t>China, Neonatologie; biomarkergestützte Diagnostik universal anwendbar</w:t>
      </w:r>
    </w:p>
    <w:p>
      <w:r>
        <w:rPr>
          <w:color w:val="5A7D3A"/>
          <w:sz w:val="18"/>
        </w:rPr>
        <w:t>https://pubmed.ncbi.nlm.nih.gov/42919222/</w:t>
      </w:r>
    </w:p>
    <w:p>
      <w:pPr>
        <w:pStyle w:val="Heading2"/>
      </w:pPr>
      <w:r>
        <w:t>Irland: Krankenhausinfektionen durch CPE werden reaktiv statt präventiv kontrolliert</w:t>
      </w:r>
    </w:p>
    <w:p>
      <w:r>
        <w:rPr>
          <w:i/>
          <w:color w:val="666666"/>
          <w:sz w:val="18"/>
        </w:rPr>
        <w:t>Ali S et al.  ·  J Hosp Infect  ·  09.09.2026  ·  PMID 42716440</w:t>
      </w:r>
    </w:p>
    <w:p>
      <w:r>
        <w:t>Nationale Querschnittsumfrage von 37 irischen Akutkrankenhäusern zur Umweltüberwachung und Bekämpfung von carbapenemasebildenden Enterobacterales in Wasser- und Abwassersystemen.</w:t>
      </w:r>
    </w:p>
    <w:p>
      <w:r>
        <w:rPr>
          <w:b/>
        </w:rPr>
        <w:t xml:space="preserve">Ergebnis: </w:t>
      </w:r>
      <w:r>
        <w:t>Patientenüberwachung etabliert: 40,5 % führen universelles CPE-Screening durch. Umweltüberwachung überwiegend ausbruchsgetrieben: nur 18,9 % machen routinemäßiges Wasser-Screening, 45,9 % nur bei Ausbrüchen, 40,5 % nie. Chemische Desinfektion 59,5 %, Wärmebehandlung 18,9 %, keine Strategie 29,7 %. Technische Eingriffe während Ausbrüchen: Waschbeckenersatz 27,0 %, Rohrleitungsersatz 24,3 %.</w:t>
      </w:r>
    </w:p>
    <w:p>
      <w:r>
        <w:rPr>
          <w:b/>
          <w:sz w:val="19"/>
        </w:rPr>
        <w:t xml:space="preserve">Übertragbarkeit: </w:t>
      </w:r>
      <w:r>
        <w:rPr>
          <w:sz w:val="19"/>
        </w:rPr>
        <w:t>Irisches System mit vergleichbarem Meldewesen; zeigt Defizite in präventiver Umweltkontrolle</w:t>
      </w:r>
    </w:p>
    <w:p>
      <w:r>
        <w:rPr>
          <w:color w:val="5A7D3A"/>
          <w:sz w:val="18"/>
        </w:rPr>
        <w:t>https://pubmed.ncbi.nlm.nih.gov/42716440/</w:t>
      </w:r>
    </w:p>
    <w:p>
      <w:pPr>
        <w:pStyle w:val="Heading2"/>
      </w:pPr>
      <w:r>
        <w:t>Antimicrobial Stewardship reduzierte Antibiotikaverbrauch und Resistenzen in asiatischen Kliniken</w:t>
      </w:r>
    </w:p>
    <w:p>
      <w:r>
        <w:rPr>
          <w:i/>
          <w:color w:val="666666"/>
          <w:sz w:val="18"/>
        </w:rPr>
        <w:t>Zhang H et al.  ·  J Hosp Infect  ·  02.09.2026  ·  PMID 42685915</w:t>
      </w:r>
    </w:p>
    <w:p>
      <w:r>
        <w:t>Systematische Übersicht von 32 interventionellen Antimicrobial-Stewardship-Programmen in Krankenhäusern Südostasiens und Ostasiens, die Auswirkungen auf Antibiotikaverbrauch, Resistenzraten und Sterblichkeit erfasste.</w:t>
      </w:r>
    </w:p>
    <w:p>
      <w:r>
        <w:rPr>
          <w:b/>
        </w:rPr>
        <w:t xml:space="preserve">Ergebnis: </w:t>
      </w:r>
      <w:r>
        <w:t>Preauthorization und prospektive Audit-&amp;-Feedback waren die häufigsten Interventionskomponenten (22 Studien). Antibiotikaverbrauch und Kosten sanken konsistent; Watch- und Reserve-Kategorie-Antibiotika wurden weniger verwendet. Resistenzen gegen WHO-kritische und hochpriorisierte Erreger nahmen ab; Sterblichkeit blieb unverändert. Heterogenität in Diagnostik und Berichtsstandards bestanden fort.</w:t>
      </w:r>
    </w:p>
    <w:p>
      <w:r>
        <w:rPr>
          <w:b/>
          <w:sz w:val="19"/>
        </w:rPr>
        <w:t xml:space="preserve">Übertragbarkeit: </w:t>
      </w:r>
      <w:r>
        <w:rPr>
          <w:sz w:val="19"/>
        </w:rPr>
        <w:t>Asiatische Daten zeigen Best-Practice-Transfer auf vergleichbare Strukturen</w:t>
      </w:r>
    </w:p>
    <w:p>
      <w:r>
        <w:rPr>
          <w:color w:val="5A7D3A"/>
          <w:sz w:val="18"/>
        </w:rPr>
        <w:t>https://pubmed.ncbi.nlm.nih.gov/42685915/</w:t>
      </w:r>
    </w:p>
    <w:p>
      <w:pPr>
        <w:pStyle w:val="Heading1"/>
      </w:pPr>
      <w:r>
        <w:t>Aufgenommen am 25.10.2026</w:t>
      </w:r>
    </w:p>
    <w:p>
      <w:pPr>
        <w:pStyle w:val="Heading2"/>
      </w:pPr>
      <w:r>
        <w:t>Expertenkonsens zur Referenzdatenerstellung f ür Früherkennung nosokomialer Ausbrüche</w:t>
      </w:r>
    </w:p>
    <w:p>
      <w:r>
        <w:rPr>
          <w:i/>
          <w:color w:val="666666"/>
          <w:sz w:val="18"/>
        </w:rPr>
        <w:t>Leclère B et al.  ·  J Hosp Infect  ·  11.09.2026  ·  PMID 42727816</w:t>
      </w:r>
    </w:p>
    <w:p>
      <w:r>
        <w:t>Konsens- studieüber die Entwicklung von Referenzdatensätzen zur Validierung von Ausbrucherkennungs-Algorithmen in Krankenhäusern durch Experten bewertung.</w:t>
      </w:r>
    </w:p>
    <w:p>
      <w:r>
        <w:rPr>
          <w:b/>
        </w:rPr>
        <w:t xml:space="preserve">Ergebnis: </w:t>
      </w:r>
      <w:r>
        <w:t>25 Experten aus Kanada und Frankreich identifizierten in 36 Zeitreihen (1899 Überwachungswochen) 89 potenzielle Ausbruchzeiten mittels Mehrheitsvotum und 96 durch Hidden-Markov-Modell. Die Übereinst immung zwischen den Methoden war am stärksten für hochwahrscheinliche Ausbruchwochen. Ein zuverlässiger Referenzdatensatz für Entwicklung und Vergleich von Erkennungsalgorithmen wurde konstruiert.</w:t>
      </w:r>
    </w:p>
    <w:p>
      <w:r>
        <w:rPr>
          <w:b/>
          <w:sz w:val="19"/>
        </w:rPr>
        <w:t xml:space="preserve">Übertragbarkeit: </w:t>
      </w:r>
      <w:r>
        <w:rPr>
          <w:sz w:val="19"/>
        </w:rPr>
        <w:t>Frankreich und Kanada, vergleichbares Surveillance-Verständnis, methodologische Übertragbarkeit</w:t>
      </w:r>
    </w:p>
    <w:p>
      <w:r>
        <w:rPr>
          <w:color w:val="5A7D3A"/>
          <w:sz w:val="18"/>
        </w:rPr>
        <w:t>https://pubmed.ncbi.nlm.nih.gov/42727816/</w:t>
      </w:r>
    </w:p>
    <w:p>
      <w:pPr>
        <w:pStyle w:val="Heading1"/>
      </w:pPr>
      <w:r>
        <w:t>Aufgenommen am 24.10.2026</w:t>
      </w:r>
    </w:p>
    <w:p>
      <w:pPr>
        <w:pStyle w:val="Heading2"/>
      </w:pPr>
      <w:r>
        <w:t>pH-Wert 4,5 bei Magensonde senkte X-Ray-Bestätigungen ohne Sicherheitsverlust</w:t>
      </w:r>
    </w:p>
    <w:p>
      <w:r>
        <w:rPr>
          <w:i/>
          <w:color w:val="666666"/>
          <w:sz w:val="18"/>
        </w:rPr>
        <w:t>Williams V et al.  ·  Br J Nurs  ·  22.10.2026  ·  PMID 42912425</w:t>
      </w:r>
    </w:p>
    <w:p>
      <w:r>
        <w:t>Qualitätsinitiative an einem britischen Krankenhaus, die den pH-Grenzwert zur Magensonden-Lagekontrolle von 5,5 auf 4,5 senkte, um Fehlplatzierungen zu reduzieren; Erfassung von Audit-Daten 2018-2026.</w:t>
      </w:r>
    </w:p>
    <w:p>
      <w:r>
        <w:rPr>
          <w:b/>
        </w:rPr>
        <w:t xml:space="preserve">Ergebnis: </w:t>
      </w:r>
      <w:r>
        <w:t>Die Absenkung des pH-Grenzwerts auf 4,5 führte nicht zu einem Anstieg der Röntgenbestätigungen. Die Maßnahme war eine einfache und wirksame Sicherheitsverbesserung, die mit Standard-Pflegeverfahren umsetzbar war und Fehlplatzierungsrisiken senkte.</w:t>
      </w:r>
    </w:p>
    <w:p>
      <w:r>
        <w:rPr>
          <w:b/>
          <w:sz w:val="19"/>
        </w:rPr>
        <w:t xml:space="preserve">Übertragbarkeit: </w:t>
      </w:r>
      <w:r>
        <w:rPr>
          <w:sz w:val="19"/>
        </w:rPr>
        <w:t>Vereinigtes Königreich, direkt übertragbar auf deutsche Krankenhäuser, unkomplizierte Prozessanpassung.</w:t>
      </w:r>
    </w:p>
    <w:p>
      <w:r>
        <w:rPr>
          <w:color w:val="5A7D3A"/>
          <w:sz w:val="18"/>
        </w:rPr>
        <w:t>https://pubmed.ncbi.nlm.nih.gov/42912425/</w:t>
      </w:r>
    </w:p>
    <w:p>
      <w:pPr>
        <w:pStyle w:val="Heading2"/>
      </w:pPr>
      <w:r>
        <w:t>Gram-negative Erreger verursachen 31,5 % der Operationswundinfektionen nach Wirbelsäulenfusion</w:t>
      </w:r>
    </w:p>
    <w:p>
      <w:r>
        <w:rPr>
          <w:i/>
          <w:color w:val="666666"/>
          <w:sz w:val="18"/>
        </w:rPr>
        <w:t>Lindstrom M et al.  ·  Emerg Infect Dis  ·  Nov. 2026  ·  PMID 42909851</w:t>
      </w:r>
    </w:p>
    <w:p>
      <w:r>
        <w:t>Querschnittsanalyse von 7.187 Fällen aus dem CDC-Überwachungsnetzwerk zu Mikrobiologie und Risikofaktoren für Gram-negative Infektionen nach Wirbelsäulenfusionen.</w:t>
      </w:r>
    </w:p>
    <w:p>
      <w:r>
        <w:rPr>
          <w:b/>
        </w:rPr>
        <w:t xml:space="preserve">Ergebnis: </w:t>
      </w:r>
      <w:r>
        <w:t>Gram-negative Organismen verursachten 31,5 % (2.265/7.187) der Infektionen. Unabhängig assoziiert mit Gram-negativ-Infektion waren: höheres Alter, weibliches Geschlecht, höherer BMI, längere OP-Zeiten, höhere ASA-Klasse, lumbale Beteiligung, stationäre OP und Notfall-/Traumachirurgie.</w:t>
      </w:r>
    </w:p>
    <w:p>
      <w:r>
        <w:rPr>
          <w:b/>
          <w:sz w:val="19"/>
        </w:rPr>
        <w:t xml:space="preserve">Übertragbarkeit: </w:t>
      </w:r>
      <w:r>
        <w:rPr>
          <w:sz w:val="19"/>
        </w:rPr>
        <w:t>USA, begrenzte Übertragbarkeit auf Deutschland wegen Finanzierungsunterschieden, aber Risikoprofil für empirische Antibiotika-Wahl relevant.</w:t>
      </w:r>
    </w:p>
    <w:p>
      <w:r>
        <w:rPr>
          <w:color w:val="5A7D3A"/>
          <w:sz w:val="18"/>
        </w:rPr>
        <w:t>https://pubmed.ncbi.nlm.nih.gov/42909851/</w:t>
      </w:r>
    </w:p>
    <w:p>
      <w:pPr>
        <w:pStyle w:val="Heading2"/>
      </w:pPr>
      <w:r>
        <w:t>Eingeschränkte Lungenfunktion erhöht Blutstrominfektion-Risiko auf das 1,5- bis 2,5-Fache</w:t>
      </w:r>
    </w:p>
    <w:p>
      <w:r>
        <w:rPr>
          <w:i/>
          <w:color w:val="666666"/>
          <w:sz w:val="18"/>
        </w:rPr>
        <w:t>Ahlström MG et al.  ·  Respir Med  ·  11.10.2026  ·  PMID 42860238</w:t>
      </w:r>
    </w:p>
    <w:p>
      <w:r>
        <w:t>Prospektive Kohortenanalyse von 118.565 Teilnehmern der Kopenhagener Bevölkerungsstudie mit Spirometrie und 10-Jahres-Nachverfolgung über mikrobielle Datenbanken zur Untersuchung der Assoziation zwischen Lungenfunktion und Blutstrominfektion.</w:t>
      </w:r>
    </w:p>
    <w:p>
      <w:r>
        <w:rPr>
          <w:b/>
        </w:rPr>
        <w:t xml:space="preserve">Ergebnis: </w:t>
      </w:r>
      <w:r>
        <w:t>Obstruktives spirometrisches Muster zeigte eine Hazard Ratio von 1,5 (95%-KI 1,4-1,7), PRISm-Pattern 1,4 (1,2-1,5); für FEV1 &lt;50 % war HR 2,5 (2,0-3,2). Die bevölkerungsattribuierbare Fraktion für Blutstrominfektion durch abnormale Spirometrie betrug 9,5 %. Das Risiko war nicht auf Atemwegserreger beschränkt.</w:t>
      </w:r>
    </w:p>
    <w:p>
      <w:r>
        <w:rPr>
          <w:b/>
          <w:sz w:val="19"/>
        </w:rPr>
        <w:t xml:space="preserve">Übertragbarkeit: </w:t>
      </w:r>
      <w:r>
        <w:rPr>
          <w:sz w:val="19"/>
        </w:rPr>
        <w:t>Dänemark, europäisches Gesundheitssystem; Primärprävention durch Lungenfunktionscreening relevanter für Risikoidentifikation.</w:t>
      </w:r>
    </w:p>
    <w:p>
      <w:r>
        <w:rPr>
          <w:color w:val="5A7D3A"/>
          <w:sz w:val="18"/>
        </w:rPr>
        <w:t>https://pubmed.ncbi.nlm.nih.gov/42860238/</w:t>
      </w:r>
    </w:p>
    <w:p>
      <w:pPr>
        <w:pStyle w:val="Heading2"/>
      </w:pPr>
      <w:r>
        <w:t>Methotrexat zusätzlich zu Prednisolon verbesserte Erythema-nodosum-leprosum-Flares nicht</w:t>
      </w:r>
    </w:p>
    <w:p>
      <w:r>
        <w:rPr>
          <w:i/>
          <w:color w:val="666666"/>
          <w:sz w:val="18"/>
        </w:rPr>
        <w:t>de Barros B et al.  ·  PLoS Negl Trop Dis  ·  30.09.2026  ·  PMID 42814788</w:t>
      </w:r>
    </w:p>
    <w:p>
      <w:r>
        <w:t>Internationale doppelblinde RCT mit 137 Patienten an fünf lepra-Referenzzentren (Äthiopien, Indien, Indonesien, Nepal) zur Frage, ob wöchentliches orales Methotrexat zusätzlich zu Prednisolon den zusätzlichen Prednisolon-Bedarf bei schwerer ENL reduziert.</w:t>
      </w:r>
    </w:p>
    <w:p>
      <w:r>
        <w:rPr>
          <w:b/>
        </w:rPr>
        <w:t xml:space="preserve">Ergebnis: </w:t>
      </w:r>
      <w:r>
        <w:t>Bei 24 Wochen: 85/137 (62,0 %) erlebten ENL-Flare; adjustierte HR Methotrexat vs. Placebo 0,98 (95%-KI 0,62-1,54). Bei 48 Wochen: 102/137 (74,5 %); HR 0,95 (0,62-1,43). Sekundärergebnisse ähnlich: Methotrexat reduzierte nicht Schweregrad, Häufigkeit oder spätere Flares. Lebensqualität verbesserte sich in beiden Gruppen ohne Unterschied. Methotrexat war gut verträglich, wird aber von dieser Studie für schwere ENL nicht unterstützt.</w:t>
      </w:r>
    </w:p>
    <w:p>
      <w:r>
        <w:rPr>
          <w:b/>
          <w:sz w:val="19"/>
        </w:rPr>
        <w:t xml:space="preserve">Übertragbarkeit: </w:t>
      </w:r>
      <w:r>
        <w:rPr>
          <w:sz w:val="19"/>
        </w:rPr>
        <w:t>Multipol niedrig-/mittleeinkommliche Länder, Wirksamkeitsstudie zu seltener Krankheit, aber Versorgungsrelevanz für deutschsprachige Länder gering.</w:t>
      </w:r>
    </w:p>
    <w:p>
      <w:r>
        <w:rPr>
          <w:color w:val="5A7D3A"/>
          <w:sz w:val="18"/>
        </w:rPr>
        <w:t>https://pubmed.ncbi.nlm.nih.gov/42814788/</w:t>
      </w:r>
    </w:p>
    <w:p>
      <w:pPr>
        <w:pStyle w:val="Heading2"/>
      </w:pPr>
      <w:r>
        <w:t>Nationale Sicherheitsempfehlungen scheitern oft in der Umsetzung wegen konkurrierender Organisationslogiken</w:t>
      </w:r>
    </w:p>
    <w:p>
      <w:r>
        <w:rPr>
          <w:i/>
          <w:color w:val="666666"/>
          <w:sz w:val="18"/>
        </w:rPr>
        <w:t>Peerally MF et al.  ·  Int J Qual Health Care  ·  05.10.2026  ·  PMID 42767996</w:t>
      </w:r>
    </w:p>
    <w:p>
      <w:r>
        <w:t>Qualitative Multimethod-Studie von 22 Untersuchungsberichten der englischen Behörde HSSIB, zwei Fokusgruppen mit 12 Ermittlern und 11 Interviews mit Vertretern empfangsorganisationen zu Implementierungshindernissen.</w:t>
      </w:r>
    </w:p>
    <w:p>
      <w:r>
        <w:rPr>
          <w:b/>
        </w:rPr>
        <w:t xml:space="preserve">Ergebnis: </w:t>
      </w:r>
      <w:r>
        <w:t>Dokumentenanalyse zeigte, dass HSSIB-Empfehlungen nicht-direktiv waren und auf schwächsten Kontrollebenen sowie administrative Maßnahmen konzentrierten. Zwei konkurrierende institutionelle Logiken: HSSIB nutzt Sicherheitswissenschaft (Systemdenken, Mitgestaltung, nonpunitives Lernen), Empfängerorganisationen nutzen Manage-ment-Operationslogik (Ressourcenverwaltung, operative Machbarkeit). Folgen: (i) Empfehlungen durch nominale Koproduktion abgeschwächt; (ii) Prioritäten durch politische Salience und Ressourcenverfügbarkeit gesteuert; (iii) diffuse Rechenschaftspflicht; (iv) Transparenz-Wirkung begrenzt. Strukturelle Trennung HSSIB/Organisationen paradox: zentral für Legitimität als Lernkörper, aber distanziert von operativen Realitäten.</w:t>
      </w:r>
    </w:p>
    <w:p>
      <w:r>
        <w:rPr>
          <w:b/>
          <w:sz w:val="19"/>
        </w:rPr>
        <w:t xml:space="preserve">Übertragbarkeit: </w:t>
      </w:r>
      <w:r>
        <w:rPr>
          <w:sz w:val="19"/>
        </w:rPr>
        <w:t>Vereinigtes Königreich, deutsches Sicherheitsmanagementsystem vor ähnliche Implementierungs-Barrieren gestellt.</w:t>
      </w:r>
    </w:p>
    <w:p>
      <w:r>
        <w:rPr>
          <w:color w:val="5A7D3A"/>
          <w:sz w:val="18"/>
        </w:rPr>
        <w:t>https://pubmed.ncbi.nlm.nih.gov/42767996/</w:t>
      </w:r>
    </w:p>
    <w:p>
      <w:pPr>
        <w:pStyle w:val="Heading2"/>
      </w:pPr>
      <w:r>
        <w:t>Sepsis in Spanien: Inzidenz und stationäre Sterblichkeit stiegen 2017-2022 um 16 %</w:t>
      </w:r>
    </w:p>
    <w:p>
      <w:r>
        <w:rPr>
          <w:i/>
          <w:color w:val="666666"/>
          <w:sz w:val="18"/>
        </w:rPr>
        <w:t>López Herrero R et al.  ·  Int J Infect Dis  ·  16.09.2026  ·  PMID 42749250</w:t>
      </w:r>
    </w:p>
    <w:p>
      <w:r>
        <w:t>Bevölkerungsbasierte retrospektive Analyse von 1.187.393 Sepsisfällen in Spanien anhand des Minimum Basic Data Set zur Beschreibung von Trends, Infektionsquellen und Gesundheitsbelastung.</w:t>
      </w:r>
    </w:p>
    <w:p>
      <w:r>
        <w:rPr>
          <w:b/>
        </w:rPr>
        <w:t xml:space="preserve">Ergebnis: </w:t>
      </w:r>
      <w:r>
        <w:t>Die altersadjustierte Inzidenz stieg von 4,0 pro 1.000 Einwohner 2017 auf 4,65 pro 1.000 2022; die stationäre Mortalität erhöhte sich von 19,4 % (2017) auf 23,7 % (2020, Pandemiepeak) und stabilisierte sich bei 20,8 % (2022). Atemwegs- und Harnwegsinfektionen waren führende Infektionsquellen; Patienten waren überwiegend älter (Mittelwert 74,3 Jahre) mit hoher Komorbiditätslast.</w:t>
      </w:r>
    </w:p>
    <w:p>
      <w:r>
        <w:rPr>
          <w:b/>
          <w:sz w:val="19"/>
        </w:rPr>
        <w:t xml:space="preserve">Übertragbarkeit: </w:t>
      </w:r>
      <w:r>
        <w:rPr>
          <w:sz w:val="19"/>
        </w:rPr>
        <w:t>Spanien, vergleichbare administrative Datenerfassung; Pandemieffekt auf europäische Sepsisepidemiologie relevant.</w:t>
      </w:r>
    </w:p>
    <w:p>
      <w:r>
        <w:rPr>
          <w:color w:val="5A7D3A"/>
          <w:sz w:val="18"/>
        </w:rPr>
        <w:t>https://pubmed.ncbi.nlm.nih.gov/42749250/</w:t>
      </w:r>
    </w:p>
    <w:p>
      <w:pPr>
        <w:pStyle w:val="Heading2"/>
      </w:pPr>
      <w:r>
        <w:t>Digitale Überwachung von Krankenhausinfektionen: Designelemente heterogen, klinische Integration rarely documented</w:t>
      </w:r>
    </w:p>
    <w:p>
      <w:r>
        <w:rPr>
          <w:i/>
          <w:color w:val="666666"/>
          <w:sz w:val="18"/>
        </w:rPr>
        <w:t>Havers SM et al.  ·  J Hosp Infect  ·  02.09.2026  ·  PMID 42685914</w:t>
      </w:r>
    </w:p>
    <w:p>
      <w:r>
        <w:t>Systematische Übersichtsarbeit von 47 Studien über digitale Systeme zur Überwachung nosokomialer Infektionen, Extraktion von Designelementen, Implementierungsmerkmalen und Ergebnissen.</w:t>
      </w:r>
    </w:p>
    <w:p>
      <w:r>
        <w:rPr>
          <w:b/>
        </w:rPr>
        <w:t xml:space="preserve">Ergebnis: </w:t>
      </w:r>
      <w:r>
        <w:t>47 Studien (28 aus Europa, 10 USA) zeigten Designelemente für Detektion, Validierung, Automatisierung und Datenintegration. Systeme waren überwiegend intern entwickelt und staatlich finanziert. HAI-Ergebnisse heterogen, Integration in Routinepraxis selten beschrieben; Patientenauswirkungen wenig evaluiert. Effizienzvorteil teilweise gezeigt, aber fehlende Qualitäts- und Sicherheitsergebnisse behindern Bewertung.</w:t>
      </w:r>
    </w:p>
    <w:p>
      <w:r>
        <w:rPr>
          <w:b/>
          <w:sz w:val="19"/>
        </w:rPr>
        <w:t xml:space="preserve">Übertragbarkeit: </w:t>
      </w:r>
      <w:r>
        <w:rPr>
          <w:sz w:val="19"/>
        </w:rPr>
        <w:t>Überwiegend europäische Evidenz, aber Heterogenität erfordert nationale Kontextanpassung für Deutschland.</w:t>
      </w:r>
    </w:p>
    <w:p>
      <w:r>
        <w:rPr>
          <w:color w:val="5A7D3A"/>
          <w:sz w:val="18"/>
        </w:rPr>
        <w:t>https://pubmed.ncbi.nlm.nih.gov/42685914/</w:t>
      </w:r>
    </w:p>
    <w:p>
      <w:pPr>
        <w:pStyle w:val="Heading1"/>
      </w:pPr>
      <w:r>
        <w:t>Aufgenommen am 23.10.2026</w:t>
      </w:r>
    </w:p>
    <w:p>
      <w:pPr>
        <w:pStyle w:val="Heading2"/>
      </w:pPr>
      <w:r>
        <w:t>Sicherheitskultur verbessert Arbeitsbalance, aber nicht Job-Zufriedenheit</w:t>
      </w:r>
    </w:p>
    <w:p>
      <w:r>
        <w:rPr>
          <w:i/>
          <w:color w:val="666666"/>
          <w:sz w:val="18"/>
        </w:rPr>
        <w:t>Hsieh MF et al.  ·  BMC Health Serv Res  ·  25.07.2026  ·  PMID 42907819</w:t>
      </w:r>
    </w:p>
    <w:p>
      <w:r>
        <w:t>Krankenhausweite Querschnittsstudie bei 1779 Beschäftigten zum Zusammenhang zwischen multidimensionaler Sicherheitskultur und psychischem Wohlbefinden (Resilienz, Work-Life-Balance).</w:t>
      </w:r>
    </w:p>
    <w:p>
      <w:r>
        <w:rPr>
          <w:b/>
        </w:rPr>
        <w:t xml:space="preserve">Ergebnis: </w:t>
      </w:r>
      <w:r>
        <w:t>Die meisten Sicherheitskultur-Dimensionen wirkten sich positiv auf Work-Life-Balance aus (p&lt;0,001); Jobzufriedenheit zeigte aber negative Assoziation mit Resilienz (β=-0,400, p&lt;0,001). Stresswahrnehmung war starker Prädiktor für höhere Resilienz, aber schlechtere Work-Life-Balance.</w:t>
      </w:r>
    </w:p>
    <w:p>
      <w:r>
        <w:rPr>
          <w:b/>
          <w:sz w:val="19"/>
        </w:rPr>
        <w:t xml:space="preserve">Übertragbarkeit: </w:t>
      </w:r>
      <w:r>
        <w:rPr>
          <w:sz w:val="19"/>
        </w:rPr>
        <w:t>Taiwan-Daten, vergleichbar mit Deutschland in Organisationsstrukturen und Messkonzepten.</w:t>
      </w:r>
    </w:p>
    <w:p>
      <w:r>
        <w:rPr>
          <w:color w:val="5A7D3A"/>
          <w:sz w:val="18"/>
        </w:rPr>
        <w:t>https://pubmed.ncbi.nlm.nih.gov/42907819/</w:t>
      </w:r>
    </w:p>
    <w:p>
      <w:pPr>
        <w:pStyle w:val="Heading2"/>
      </w:pPr>
      <w:r>
        <w:t>Zahnhygiene-Protokoll senkt Infektionen nach Schilddrüsen-Endoskopie um 75 %</w:t>
      </w:r>
    </w:p>
    <w:p>
      <w:r>
        <w:rPr>
          <w:i/>
          <w:color w:val="666666"/>
          <w:sz w:val="18"/>
        </w:rPr>
        <w:t>Zhan X et al.  ·  BMC Surg  ·  27.07.2026  ·  PMID 42907790</w:t>
      </w:r>
    </w:p>
    <w:p>
      <w:r>
        <w:t>Prospektive Studie an 52 transoralen endoskopischen Schilddrüsen-Eingriffen mit Vergleich von drei perioperativen Antibiotikaregimen und oralen Hygiene-Protokollen zur Reduktion operativer Infektionen.</w:t>
      </w:r>
    </w:p>
    <w:p>
      <w:r>
        <w:rPr>
          <w:b/>
        </w:rPr>
        <w:t xml:space="preserve">Ergebnis: </w:t>
      </w:r>
      <w:r>
        <w:t>Keine Infektionen in der Cefuroxim-Gruppe, zwei Infektionen in der Metronidazol-Gruppe (n=18 je). Cefuroxim reduzierte abundante Bakterienarten innerhalb 48 h in 50 % der Fälle vs. 13,3 % mit Metronidazol (OR 6,50, 95 %-KI 1,90–22,26, p=0,0023). Povidon-Iod in der oralen Reinigung reduzierte Streptokokken am wirksamsten.</w:t>
      </w:r>
    </w:p>
    <w:p>
      <w:r>
        <w:rPr>
          <w:b/>
          <w:sz w:val="19"/>
        </w:rPr>
        <w:t xml:space="preserve">Übertragbarkeit: </w:t>
      </w:r>
      <w:r>
        <w:rPr>
          <w:sz w:val="19"/>
        </w:rPr>
        <w:t>China, aber Befunde zu Antibiotikaauswahl und oraler Desinfektion sind für Deutschen OP-Standard relevant.</w:t>
      </w:r>
    </w:p>
    <w:p>
      <w:r>
        <w:rPr>
          <w:color w:val="5A7D3A"/>
          <w:sz w:val="18"/>
        </w:rPr>
        <w:t>https://pubmed.ncbi.nlm.nih.gov/42907790/</w:t>
      </w:r>
    </w:p>
    <w:p>
      <w:pPr>
        <w:pStyle w:val="Heading2"/>
      </w:pPr>
      <w:r>
        <w:t>Harnwegsinfektionen: 85,6 % der ED-Antibiotika nicht leitlinienkonform</w:t>
      </w:r>
    </w:p>
    <w:p>
      <w:r>
        <w:rPr>
          <w:i/>
          <w:color w:val="666666"/>
          <w:sz w:val="18"/>
        </w:rPr>
        <w:t>Abdulghani K et al.  ·  BMC Emerg Med  ·  25.07.2026  ·  PMID 42907770</w:t>
      </w:r>
    </w:p>
    <w:p>
      <w:r>
        <w:t>Retrospektive Kohortenstudie an 346 ED-Patienten mit Urinkultur; Bewertung von Antibiotikaverordnungen gegen nationale saudische UTI-Leitlinien in vier Domänen (Wirkstoff, Dosis, Route, Dauer).</w:t>
      </w:r>
    </w:p>
    <w:p>
      <w:r>
        <w:rPr>
          <w:b/>
        </w:rPr>
        <w:t xml:space="preserve">Ergebnis: </w:t>
      </w:r>
      <w:r>
        <w:t>153 Patienten (44,2 %) leitlinienkonform behandelt, 189 (54,6 %) nicht konform; unter behandelten Patienten nur 31 (14,4 %) konform. Hauptgründe: falsche Wirkstoffwahl (31,7 %), Überbehandlung (29,6 %), Resistenzmismatch (13,8 %). Positive Kultur und UTI-Indikation waren Prädiktoren für Non-Adhärenz. Positive-Kultur-Patienten: 30-Tage-ED-Revisit 26,6 % vs. 14,8 % (p=0,008); Non-Adhärenz war unabhängiger Prädiktor für Revisit (OR 2,20).</w:t>
      </w:r>
    </w:p>
    <w:p>
      <w:r>
        <w:rPr>
          <w:b/>
          <w:sz w:val="19"/>
        </w:rPr>
        <w:t xml:space="preserve">Übertragbarkeit: </w:t>
      </w:r>
      <w:r>
        <w:rPr>
          <w:sz w:val="19"/>
        </w:rPr>
        <w:t>Saudi-Arabien: Leitlinien-Non-Adhärenz vergleichbar mit deutschen ED-Daten; Antibiotic Stewardship-Ansätze übertragbar.</w:t>
      </w:r>
    </w:p>
    <w:p>
      <w:r>
        <w:rPr>
          <w:color w:val="5A7D3A"/>
          <w:sz w:val="18"/>
        </w:rPr>
        <w:t>https://pubmed.ncbi.nlm.nih.gov/42907770/</w:t>
      </w:r>
    </w:p>
    <w:p>
      <w:pPr>
        <w:pStyle w:val="Heading2"/>
      </w:pPr>
      <w:r>
        <w:t>OP-Checkliste vor Bauchverschluss identifiziert 4 von 42 Fehlern (9,5 %)</w:t>
      </w:r>
    </w:p>
    <w:p>
      <w:r>
        <w:rPr>
          <w:i/>
          <w:color w:val="666666"/>
          <w:sz w:val="18"/>
        </w:rPr>
        <w:t>Marui A et al.  ·  Langenbecks Arch Surg  ·  25.07.2026  ·  PMID 42907617</w:t>
      </w:r>
    </w:p>
    <w:p>
      <w:r>
        <w:t>Implementierung einer 12-Punkt-Checkliste vor Bauchverschluss in Kolonchirurgie; Vergleich von 42 Fällen mit Checkliste gegen 409 ohne.</w:t>
      </w:r>
    </w:p>
    <w:p>
      <w:r>
        <w:rPr>
          <w:b/>
        </w:rPr>
        <w:t xml:space="preserve">Ergebnis: </w:t>
      </w:r>
      <w:r>
        <w:t>Bei Checklisten-Anwendung wurden 4 von 42 Patienten zusätzliche Eingriffe notwendig: Blutstillung (n=1), Antiadhäsiva (n=2), Repositionierung (n=1). Keine Behältnis, Geweberetention oder OP-Abweichungen. Keine signifikanten Unterschiede bei Anastomose-Leckagen oder Komplikationsrate zwischen Gruppen.</w:t>
      </w:r>
    </w:p>
    <w:p>
      <w:r>
        <w:rPr>
          <w:b/>
          <w:sz w:val="19"/>
        </w:rPr>
        <w:t xml:space="preserve">Übertragbarkeit: </w:t>
      </w:r>
      <w:r>
        <w:rPr>
          <w:sz w:val="19"/>
        </w:rPr>
        <w:t>Japan: OP-Checklisten sind Standard in Deutschland (WHO-Surgical Safety Checklist); Konzept ist direkt übertragbar.</w:t>
      </w:r>
    </w:p>
    <w:p>
      <w:r>
        <w:rPr>
          <w:color w:val="5A7D3A"/>
          <w:sz w:val="18"/>
        </w:rPr>
        <w:t>https://pubmed.ncbi.nlm.nih.gov/42907617/</w:t>
      </w:r>
    </w:p>
    <w:p>
      <w:pPr>
        <w:pStyle w:val="Heading2"/>
      </w:pPr>
      <w:r>
        <w:t>Fehlermeldungen im Gesundheitswesen: Polens dezentrales System begrenzt nationales Lernen</w:t>
      </w:r>
    </w:p>
    <w:p>
      <w:r>
        <w:rPr>
          <w:i/>
          <w:color w:val="666666"/>
          <w:sz w:val="18"/>
        </w:rPr>
        <w:t>Pacian JA et al.  ·  Front Public Health  ·  06.10.2026  ·  PMID 42903545</w:t>
      </w:r>
    </w:p>
    <w:p>
      <w:r>
        <w:t>Analyse des polnischen Fehlermeldesystems, das auf interne Berichte einzelner Einrichtungen beschränkt ist und nationale Lernfähigkeit, Regulierung und evidenzbasierte Politikgestaltung behindert.</w:t>
      </w:r>
    </w:p>
    <w:p>
      <w:r>
        <w:rPr>
          <w:b/>
        </w:rPr>
        <w:t xml:space="preserve">Ergebnis: </w:t>
      </w:r>
      <w:r>
        <w:t>Ohne zentrales Fehlerregister lassen sich Effektivität von Patientensicherheitsmaßnahmen nicht bewerten, sozioökonomische Folgen von Schadenereignissen nicht abschätzen und systemische Risikofaktoren nicht identifizieren. Zentrale Register mit transparenten Meldeprozessen könnten Patientenergebnisse und Ressourceneffizienz erheblich verbessern.</w:t>
      </w:r>
    </w:p>
    <w:p>
      <w:r>
        <w:rPr>
          <w:b/>
          <w:sz w:val="19"/>
        </w:rPr>
        <w:t xml:space="preserve">Übertragbarkeit: </w:t>
      </w:r>
      <w:r>
        <w:rPr>
          <w:sz w:val="19"/>
        </w:rPr>
        <w:t>Polen: Vergleichbar mit Deutschland bezüglich dezentraler Gesundheitssysteme und Meldepflichten, aber unterschiedliches Haftungsrecht (ohne Entschädigung ohne Verschuldensnachweis).</w:t>
      </w:r>
    </w:p>
    <w:p>
      <w:r>
        <w:rPr>
          <w:color w:val="5A7D3A"/>
          <w:sz w:val="18"/>
        </w:rPr>
        <w:t>https://pubmed.ncbi.nlm.nih.gov/42903545/</w:t>
      </w:r>
    </w:p>
    <w:p>
      <w:pPr>
        <w:pStyle w:val="Heading2"/>
      </w:pPr>
      <w:r>
        <w:t>Antimikrobielle Stewardship in schlecht heilenden Wunden: Fallsammlung zu Verbandstechniken</w:t>
      </w:r>
    </w:p>
    <w:p>
      <w:r>
        <w:rPr>
          <w:i/>
          <w:color w:val="666666"/>
          <w:sz w:val="18"/>
        </w:rPr>
        <w:t>Günther B et al.  ·  J Wound Care  ·  08.10.2026  ·  PMID 42847508</w:t>
      </w:r>
    </w:p>
    <w:p>
      <w:r>
        <w:t>Fallsammlung aus Bergen und Portugal zur Rolle mikrobiellen Stewardship und mikrobien-bindender Verbandmaterialien in der Behandlung schwer heilender Wunden.</w:t>
      </w:r>
    </w:p>
    <w:p>
      <w:r>
        <w:rPr>
          <w:b/>
        </w:rPr>
        <w:t xml:space="preserve">Ergebnis: </w:t>
      </w:r>
      <w:r>
        <w:t>Expertenfallsammlung demonstriert praktische Anwendung antimikrobieller Stewardship-Prinzipien; spezifische Zahlenergebnisse zu Heilungsraten, Infektionsreduktion oder Komplikationen werden im Abstract nicht berichtet.</w:t>
      </w:r>
    </w:p>
    <w:p>
      <w:r>
        <w:rPr>
          <w:b/>
          <w:sz w:val="19"/>
        </w:rPr>
        <w:t xml:space="preserve">Übertragbarkeit: </w:t>
      </w:r>
      <w:r>
        <w:rPr>
          <w:sz w:val="19"/>
        </w:rPr>
        <w:t>Nordeuropa und Südeuropa: Gesundheitssysteme mit Wundversorgung in Primär- und Sekundärbereich, teilweise übertragbar auf Deutschland.</w:t>
      </w:r>
    </w:p>
    <w:p>
      <w:r>
        <w:rPr>
          <w:color w:val="5A7D3A"/>
          <w:sz w:val="18"/>
        </w:rPr>
        <w:t>https://pubmed.ncbi.nlm.nih.gov/42847508/</w:t>
      </w:r>
    </w:p>
    <w:p>
      <w:pPr>
        <w:pStyle w:val="Heading2"/>
      </w:pPr>
      <w:r>
        <w:t>Sepsis im irischen Notfallambulatorium: Erkennungslücken für nicht erfasste Patienten</w:t>
      </w:r>
    </w:p>
    <w:p>
      <w:r>
        <w:rPr>
          <w:i/>
          <w:color w:val="666666"/>
          <w:sz w:val="18"/>
        </w:rPr>
        <w:t>Ravichandran N et al.  ·  PLoS One  ·  05.10.2026  ·  PMID 42832503</w:t>
      </w:r>
    </w:p>
    <w:p>
      <w:r>
        <w:t>Studienprotokoll für retrospektive Querschnittsanalyse von Notfall-Präsentationen mit Verdacht auf schwere Infektion/Sepsis in Dublin; erfasst Patienten außerhalb administrativer Datensätze.</w:t>
      </w:r>
    </w:p>
    <w:p>
      <w:r>
        <w:rPr>
          <w:b/>
        </w:rPr>
        <w:t xml:space="preserve">Ergebnis: </w:t>
      </w:r>
      <w:r>
        <w:t>Studienprotokoll ohne Ergebnisse – künftige Analyse soll Sepsiserkennung, Verlegungswege und Ressourcenplanung in Notfallversorgung verbessern.</w:t>
      </w:r>
    </w:p>
    <w:p>
      <w:r>
        <w:rPr>
          <w:b/>
          <w:sz w:val="19"/>
        </w:rPr>
        <w:t xml:space="preserve">Übertragbarkeit: </w:t>
      </w:r>
      <w:r>
        <w:rPr>
          <w:sz w:val="19"/>
        </w:rPr>
        <w:t>Irland: Vergleichbarer englischsprachiger Notfalldienst, aber anderes Melderechtssystem (Skandinavisches Modell ohne Verschuldensnachweis).</w:t>
      </w:r>
    </w:p>
    <w:p>
      <w:r>
        <w:rPr>
          <w:color w:val="5A7D3A"/>
          <w:sz w:val="18"/>
        </w:rPr>
        <w:t>https://pubmed.ncbi.nlm.nih.gov/42832503/</w:t>
      </w:r>
    </w:p>
    <w:p>
      <w:pPr>
        <w:pStyle w:val="Heading1"/>
      </w:pPr>
      <w:r>
        <w:t>Aufgenommen am 22.10.2026</w:t>
      </w:r>
    </w:p>
    <w:p>
      <w:pPr>
        <w:pStyle w:val="Heading2"/>
      </w:pPr>
      <w:r>
        <w:t>Klinisch komplexe Patienten daheim versorgt: Hospital-at-home senkte Wiederaufnahmen von 11 % auf 7 %</w:t>
      </w:r>
    </w:p>
    <w:p>
      <w:r>
        <w:rPr>
          <w:i/>
          <w:color w:val="666666"/>
          <w:sz w:val="18"/>
        </w:rPr>
        <w:t>Hägi-Pedersen MB et al.  ·  BMC Health Serv Res  ·  24.07.2026  ·  PMID 42902350</w:t>
      </w:r>
    </w:p>
    <w:p>
      <w:r>
        <w:t>Dänische Studie zur Sicherheit eines regionalen Hospital-at-home-Modells, das Patienten mit Komorbiditäten einschließlich Infektionserkrankungen in privaten Häusern mit Pflegepersonal und mobilen Behandlungsteams versorgte.</w:t>
      </w:r>
    </w:p>
    <w:p>
      <w:r>
        <w:rPr>
          <w:b/>
        </w:rPr>
        <w:t xml:space="preserve">Ergebnis: </w:t>
      </w:r>
      <w:r>
        <w:t>Bei 2.511 Patienten (Medianalter 72 Jahre) sanken 30-Tage-Wiederaufnahmen von 11,0 % (2022) auf 7,0 % (2024); 30-Tage-Überlebensrate blieb stabil bei 91,6–92,4 %; ungeplante Krankenhausbesuche: 27,0–31,1 %. Infektionskrankheiten waren häufigster Grund (43–47 %). Die Überlebensrate und stabilen Wiederaufnahmequoten deuten auf sichere Umsetzung hin.</w:t>
      </w:r>
    </w:p>
    <w:p>
      <w:r>
        <w:rPr>
          <w:b/>
          <w:sz w:val="19"/>
        </w:rPr>
        <w:t xml:space="preserve">Übertragbarkeit: </w:t>
      </w:r>
      <w:r>
        <w:rPr>
          <w:sz w:val="19"/>
        </w:rPr>
        <w:t>Dänemark (vergleichbares Sozialversicherungssystem, aber anderes Meldrecht); Übertragbarkeit auf Deutschland liegt vor, erfordert aber Beachtung der Unterschiede im Entschädigungsrecht.</w:t>
      </w:r>
    </w:p>
    <w:p>
      <w:r>
        <w:rPr>
          <w:color w:val="5A7D3A"/>
          <w:sz w:val="18"/>
        </w:rPr>
        <w:t>https://pubmed.ncbi.nlm.nih.gov/42902350/</w:t>
      </w:r>
    </w:p>
    <w:p>
      <w:pPr>
        <w:pStyle w:val="Heading2"/>
      </w:pPr>
      <w:r>
        <w:t>Negative-Pressure-Wundtherapie senkt Infektionen nach Notfall-Laparotomien um 47 %</w:t>
      </w:r>
    </w:p>
    <w:p>
      <w:r>
        <w:rPr>
          <w:i/>
          <w:color w:val="666666"/>
          <w:sz w:val="18"/>
        </w:rPr>
        <w:t>Rey Chaves CE et al.  ·  World J Emerg Surg  ·  24.07.2026  ·  PMID 42902330</w:t>
      </w:r>
    </w:p>
    <w:p>
      <w:r>
        <w:t>Systematische Übersichtsarbeit und Metaanalyse von 23 Studien mit 5.371 Patienten zur Wirksamkeit von NPWT bei der Vorbeugung von Operationswundinfektionen nach Notfall-Laparotomien im Vergleich zu Standardverbänden.</w:t>
      </w:r>
    </w:p>
    <w:p>
      <w:r>
        <w:rPr>
          <w:b/>
        </w:rPr>
        <w:t xml:space="preserve">Ergebnis: </w:t>
      </w:r>
      <w:r>
        <w:t>NPWT war mit signifikant niedrigerem Infektionsrisiko assoziiert (RR 0,53; 95%-KI 0,41–0,68). Auch Oberflächeninfektionen, tiefe Infektionen, Seromblidung und Wunddehiszenz sanken, nicht aber Organ-/Rauminfektionen. Die Evidenzsicherheit bleibt niedrig wegen Heterogenität und Verzerrungsrisiko; große RCTs sind erforderlich.</w:t>
      </w:r>
    </w:p>
    <w:p>
      <w:r>
        <w:rPr>
          <w:b/>
          <w:sz w:val="19"/>
        </w:rPr>
        <w:t xml:space="preserve">Übertragbarkeit: </w:t>
      </w:r>
      <w:r>
        <w:rPr>
          <w:sz w:val="19"/>
        </w:rPr>
        <w:t>Multinationale Evidenz; Befund unabhängig von Gesundheitssystem, aber Gewichtung der Kosten erfordert deutsche Daten.</w:t>
      </w:r>
    </w:p>
    <w:p>
      <w:r>
        <w:rPr>
          <w:color w:val="5A7D3A"/>
          <w:sz w:val="18"/>
        </w:rPr>
        <w:t>https://pubmed.ncbi.nlm.nih.gov/42902330/</w:t>
      </w:r>
    </w:p>
    <w:p>
      <w:pPr>
        <w:pStyle w:val="Heading2"/>
      </w:pPr>
      <w:r>
        <w:t>Infektionsprävention-Adhärenz stieg von 70,6 % auf 75,4 % nach gezieltem Personal-Training</w:t>
      </w:r>
    </w:p>
    <w:p>
      <w:r>
        <w:rPr>
          <w:i/>
          <w:color w:val="666666"/>
          <w:sz w:val="18"/>
        </w:rPr>
        <w:t>Sofan JA et al.  ·  BMC Health Serv Res  ·  22.07.2026  ·  PMID 42902259</w:t>
      </w:r>
    </w:p>
    <w:p>
      <w:r>
        <w:t>Querschnittsstudie in 2 Mutter-Kind-Krankenhäusern (jemeni Hauptstadt) mit 71 Mitarbeitern zur Bewertung der Umsetzung, Wissenslücken und Adhärenz bei Infektionsprävention und -kontrolle sowie assoziierte Faktoren.</w:t>
      </w:r>
    </w:p>
    <w:p>
      <w:r>
        <w:rPr>
          <w:b/>
        </w:rPr>
        <w:t xml:space="preserve">Ergebnis: </w:t>
      </w:r>
      <w:r>
        <w:t>Private Klinik: Adhärenz 75,4 %; öffentlich 70,6 % (p = 0,003). Wissensstand moderat (öffentlich 75,5 %, privat 77,9 %). In multivariater Analyse: Höhere Persönliche-Schutzausrüstungs-Kompetenz, ärztliche Qualifikation und Arbeit in privater Klinik führten zu höherer Adhärenz. PPE-Schulung und institutionelle Unterschiede sind Hebel zur Verbesserung.</w:t>
      </w:r>
    </w:p>
    <w:p>
      <w:r>
        <w:rPr>
          <w:b/>
          <w:sz w:val="19"/>
        </w:rPr>
        <w:t xml:space="preserve">Übertragbarkeit: </w:t>
      </w:r>
      <w:r>
        <w:rPr>
          <w:sz w:val="19"/>
        </w:rPr>
        <w:t>Jemen (weniger vergleichbares System); Befund zu Trainingseffektivität auf Deutschland übertragbar.</w:t>
      </w:r>
    </w:p>
    <w:p>
      <w:r>
        <w:rPr>
          <w:color w:val="5A7D3A"/>
          <w:sz w:val="18"/>
        </w:rPr>
        <w:t>https://pubmed.ncbi.nlm.nih.gov/42902259/</w:t>
      </w:r>
    </w:p>
    <w:p>
      <w:pPr>
        <w:pStyle w:val="Heading2"/>
      </w:pPr>
      <w:r>
        <w:t>Carbapenem-Resistenz bei Enterobacterales stieg während COVID-19 in Intensivstationen</w:t>
      </w:r>
    </w:p>
    <w:p>
      <w:r>
        <w:rPr>
          <w:i/>
          <w:color w:val="666666"/>
          <w:sz w:val="18"/>
        </w:rPr>
        <w:t>Bayram S et al.  ·  BMC Infect Dis  ·  24.07.2026  ·  PMID 42902233</w:t>
      </w:r>
    </w:p>
    <w:p>
      <w:r>
        <w:t>Retrospektive Kohortenstudie mit 388 Patienten an einer türkischen Universitätsklinik zum Vergleich von Erregerspektrum und Antibiotikaresistenz bei Blutkultur-Infektionen vor (März 2019) und während (bis April 2021) der COVID-19-Pandemie.</w:t>
      </w:r>
    </w:p>
    <w:p>
      <w:r>
        <w:rPr>
          <w:b/>
        </w:rPr>
        <w:t xml:space="preserve">Ergebnis: </w:t>
      </w:r>
      <w:r>
        <w:t>Prädominante Erreger blieben K. pneumoniae (30,1 % vs. 34,4 %), A. baumannii-Komplex (21,9 % vs. 21,2 %), aber E. faecium stieg (6,2 % vs. 10,4 %). ESBL-Produktion und Carbapenem-Resistenz bei Enterobacterales nahmen zu; Colistin-Resistenz bei K. pneumoniae stieg signifikant. Unabhängiger Prädiktor für Multidrug-Resistenz: vorherige Antibiotika-Exposition (aOR 8,296; 95%-KI 1,471–46,794).</w:t>
      </w:r>
    </w:p>
    <w:p>
      <w:r>
        <w:rPr>
          <w:b/>
          <w:sz w:val="19"/>
        </w:rPr>
        <w:t xml:space="preserve">Übertragbarkeit: </w:t>
      </w:r>
      <w:r>
        <w:rPr>
          <w:sz w:val="19"/>
        </w:rPr>
        <w:t>Türkei, vergleichbare Klinikstruktur; lokal spezifische Resistenzmuster wichtig für deutsche Stewardship-Strategien.</w:t>
      </w:r>
    </w:p>
    <w:p>
      <w:r>
        <w:rPr>
          <w:color w:val="5A7D3A"/>
          <w:sz w:val="18"/>
        </w:rPr>
        <w:t>https://pubmed.ncbi.nlm.nih.gov/42902233/</w:t>
      </w:r>
    </w:p>
    <w:p>
      <w:pPr>
        <w:pStyle w:val="Heading2"/>
      </w:pPr>
      <w:r>
        <w:t>Ernährungsstatus vorhersagt Sterblichkeit bei Sepsis: CONUT-Score mit AUC 0,773</w:t>
      </w:r>
    </w:p>
    <w:p>
      <w:r>
        <w:rPr>
          <w:i/>
          <w:color w:val="666666"/>
          <w:sz w:val="18"/>
        </w:rPr>
        <w:t>Song W et al.  ·  BMC Infect Dis  ·  23.07.2026  ·  PMID 42902191</w:t>
      </w:r>
    </w:p>
    <w:p>
      <w:r>
        <w:t>Retrospektive Kohortenstudie mit 2.143 Sepsis-Patienten aus der eICU-Datenbank zur Assoziation zwischen Controlling-Nutritional-Status-(CONUT-)Score und Krankenhaussterblichkeit.</w:t>
      </w:r>
    </w:p>
    <w:p>
      <w:r>
        <w:rPr>
          <w:b/>
        </w:rPr>
        <w:t xml:space="preserve">Ergebnis: </w:t>
      </w:r>
      <w:r>
        <w:t>Krankenhaussterblichkeit stieg progressiv: Mild-Malnutrition 8,13 %, Moderat 16,14 %, Schwer 23,27 % (p &lt; 0,001). Nach vollständiger Anpassung: Moderat aOR 1,60 (95%-KI 1,07–2,38), Schwer aOR 2,66 (95%-KI 1,73–4,07). Jeder Punkt CONUT-Anstieg: aOR 1,15 (95%-KI 1,09–1,21). AUC 0,773 (95%-KI 0,747–0,799) zeigt gute Diskriminationsfähigkeit.</w:t>
      </w:r>
    </w:p>
    <w:p>
      <w:r>
        <w:rPr>
          <w:b/>
          <w:sz w:val="19"/>
        </w:rPr>
        <w:t xml:space="preserve">Übertragbarkeit: </w:t>
      </w:r>
      <w:r>
        <w:rPr>
          <w:sz w:val="19"/>
        </w:rPr>
        <w:t>Internationale Kohortendatenbank; Befund versorgungsübergreifend und auf Deutschland übertragbar.</w:t>
      </w:r>
    </w:p>
    <w:p>
      <w:r>
        <w:rPr>
          <w:color w:val="5A7D3A"/>
          <w:sz w:val="18"/>
        </w:rPr>
        <w:t>https://pubmed.ncbi.nlm.nih.gov/42902191/</w:t>
      </w:r>
    </w:p>
    <w:p>
      <w:pPr>
        <w:pStyle w:val="Heading2"/>
      </w:pPr>
      <w:r>
        <w:t>Push-Dose-Noradrenalin in Notaufnahme: Blutdruck stieg innerhalb 1 Minute, keine schweren Ereignisse</w:t>
      </w:r>
    </w:p>
    <w:p>
      <w:r>
        <w:rPr>
          <w:i/>
          <w:color w:val="666666"/>
          <w:sz w:val="18"/>
        </w:rPr>
        <w:t>Yamamoto A et al.  ·  BMC Emerg Med  ·  19.09.2026  ·  PMID 42902161</w:t>
      </w:r>
    </w:p>
    <w:p>
      <w:r>
        <w:t>Retrospektive Studie an japanischer Universitätsklinik mit 91 Sepsis-Schock-Patienten, davon 50 mit Push-Dose-Noradrenalin (PDNA) in der Notaufnahme, zur Untersuchung von Einsatzkontext, Dosierung, früher hämodynamischer Reaktion und Sicherheit.</w:t>
      </w:r>
    </w:p>
    <w:p>
      <w:r>
        <w:rPr>
          <w:b/>
        </w:rPr>
        <w:t xml:space="preserve">Ergebnis: </w:t>
      </w:r>
      <w:r>
        <w:t>PDNA-Anwendung in 55 % der Fälle. Medialer arterieller Druck (MAP) bei Gabe 52 (44–61) mmHg, nach 1 Minute 62 (50–68) mmHg. Während 15-Minuten-Beobachtung: 64 % erhielten 1 Bolus, 28 % 2, 6 % 3, 2 % 4. Ein von 36 Patienten mit beobachteten physiologischen Nebenwirkungen; keine schweren Ereignisse dokumentiert.</w:t>
      </w:r>
    </w:p>
    <w:p>
      <w:r>
        <w:rPr>
          <w:b/>
          <w:sz w:val="19"/>
        </w:rPr>
        <w:t xml:space="preserve">Übertragbarkeit: </w:t>
      </w:r>
      <w:r>
        <w:rPr>
          <w:sz w:val="19"/>
        </w:rPr>
        <w:t>Japan (Universitätsklinik); Struktur vergleichbar, aber Studiendesign nicht-vergleichend und kleine Stichprobe.</w:t>
      </w:r>
    </w:p>
    <w:p>
      <w:r>
        <w:rPr>
          <w:color w:val="5A7D3A"/>
          <w:sz w:val="18"/>
        </w:rPr>
        <w:t>https://pubmed.ncbi.nlm.nih.gov/42902161/</w:t>
      </w:r>
    </w:p>
    <w:p>
      <w:pPr>
        <w:pStyle w:val="Heading1"/>
      </w:pPr>
      <w:r>
        <w:t>Aufgenommen am 21.10.2026</w:t>
      </w:r>
    </w:p>
    <w:p>
      <w:pPr>
        <w:pStyle w:val="Heading2"/>
      </w:pPr>
      <w:r>
        <w:t>Antibiotic Stewardship Programme mit Reimbursement: Pilot in Korea stärkt Infrastruktur</w:t>
      </w:r>
    </w:p>
    <w:p>
      <w:r>
        <w:rPr>
          <w:i/>
          <w:color w:val="666666"/>
          <w:sz w:val="18"/>
        </w:rPr>
        <w:t>Lim SM et al.  ·  J Korean Med Sci  ·  19.10.2026  ·  PMID 42901494</w:t>
      </w:r>
    </w:p>
    <w:p>
      <w:r>
        <w:t>Umfrage unter 153 südkoreanischen Krankenhäusern mit ≥300 Betten zur Erfassung von Antibiotic-Stewardship-Infrastruktur nach Einführung eines Pilot-Reimbursement-Systems im November 2024.</w:t>
      </w:r>
    </w:p>
    <w:p>
      <w:r>
        <w:rPr>
          <w:b/>
        </w:rPr>
        <w:t xml:space="preserve">Ergebnis: </w:t>
      </w:r>
      <w:r>
        <w:t>Teilnehmende Krankenhäuser (71 von 153) hatten mehr Infektiologen (2,96 vs. 0,63), bessere finanzielle Unterstützung (46,5% vs. 1,2%) und mehr IT-Entscheidungshilfen; Nicht-Teilnehmende zeigten Defizite: 62% ohne Richtlinien, 48% ohne Interventionen. Das Pilotprogramm verstärkte früh die Stewardship-Infrastruktur, aber erhebliche Disparitäten bleiben.</w:t>
      </w:r>
    </w:p>
    <w:p>
      <w:r>
        <w:rPr>
          <w:b/>
          <w:sz w:val="19"/>
        </w:rPr>
        <w:t xml:space="preserve">Übertragbarkeit: </w:t>
      </w:r>
      <w:r>
        <w:rPr>
          <w:sz w:val="19"/>
        </w:rPr>
        <w:t>Südkorea, vergleichbare Versorgungsstruktur und Dokumentationspflichten wie Deutschland.</w:t>
      </w:r>
    </w:p>
    <w:p>
      <w:r>
        <w:rPr>
          <w:color w:val="5A7D3A"/>
          <w:sz w:val="18"/>
        </w:rPr>
        <w:t>https://pubmed.ncbi.nlm.nih.gov/42901494/</w:t>
      </w:r>
    </w:p>
    <w:p>
      <w:pPr>
        <w:pStyle w:val="Heading2"/>
      </w:pPr>
      <w:r>
        <w:t>Intensive Qualitätskampagne reduzierte unnötige Handschuhnutzung um 11,4%</w:t>
      </w:r>
    </w:p>
    <w:p>
      <w:r>
        <w:rPr>
          <w:i/>
          <w:color w:val="666666"/>
          <w:sz w:val="18"/>
        </w:rPr>
        <w:t>Foong LH et al.  ·  West J Emerg Med  ·  24.09.2026  ·  PMID 42900947</w:t>
      </w:r>
    </w:p>
    <w:p>
      <w:r>
        <w:t>Vergleich zweier Krankenhäuser mit unterschiedlich intensiver Kampagne zur Reduktion nicht-steriler Handschuhnutzung und Verbesserung der Haendehygiene-Praxis.</w:t>
      </w:r>
    </w:p>
    <w:p>
      <w:r>
        <w:rPr>
          <w:b/>
        </w:rPr>
        <w:t xml:space="preserve">Ergebnis: </w:t>
      </w:r>
      <w:r>
        <w:t>Hospital A (niedrige Intensität) erreichte 2,6% Gesamtreduktion; Hospital B (hohe Intensität) erzielte 11,4% Reduktion der Gesamthandschuhnutzung (7,8% pro Patient). Intensive Qualitätsinterventionen waren wirksamer und führten zu CO₂-Einsparungen ohne Gefährdung der Haendehygiene.</w:t>
      </w:r>
    </w:p>
    <w:p>
      <w:r>
        <w:rPr>
          <w:b/>
          <w:sz w:val="19"/>
        </w:rPr>
        <w:t xml:space="preserve">Übertragbarkeit: </w:t>
      </w:r>
      <w:r>
        <w:rPr>
          <w:sz w:val="19"/>
        </w:rPr>
        <w:t>Australien, prinzipienübertragbar auf Hygiene- und Qualitätsziele deutscher Kliniken.</w:t>
      </w:r>
    </w:p>
    <w:p>
      <w:r>
        <w:rPr>
          <w:color w:val="5A7D3A"/>
          <w:sz w:val="18"/>
        </w:rPr>
        <w:t>https://pubmed.ncbi.nlm.nih.gov/42900947/</w:t>
      </w:r>
    </w:p>
    <w:p>
      <w:pPr>
        <w:pStyle w:val="Heading2"/>
      </w:pPr>
      <w:r>
        <w:t>Chirurgische Sicherheits-Checkliste: Compliance 39,7%, Nachverfolgung zeigt Barrieren und Erfolgsfaktoren</w:t>
      </w:r>
    </w:p>
    <w:p>
      <w:r>
        <w:rPr>
          <w:i/>
          <w:color w:val="666666"/>
          <w:sz w:val="18"/>
        </w:rPr>
        <w:t>Aouicha W et al.  ·  J Nurs Manag  ·  2026  ·  PMID 42899451</w:t>
      </w:r>
    </w:p>
    <w:p>
      <w:r>
        <w:t>Gemischte Methoden (Dokumentenanalyse + 13 Interviews mit Pflegekräften) zur Erfassung von Compliance, Barrieren und Erfolgsfaktoren bei der Implementierung der WHO-Surgical-Safety-Checklist in einem tunesischen Universitätskrankenhaus über 3 Monate.</w:t>
      </w:r>
    </w:p>
    <w:p>
      <w:r>
        <w:rPr>
          <w:b/>
        </w:rPr>
        <w:t xml:space="preserve">Ergebnis: </w:t>
      </w:r>
      <w:r>
        <w:t>Gesamtcompliance 39,7%, stieg in Phase 1 auf 60%, fiel in Phase 2 auf 29,4%; Sign-Out-Phase am häufigsten übersprungen; nächtliche Schichten und Notfalleingriffe zeigten niedrigere Compliance (p&lt;0,001); Barrieren: Zeitdruck, mangelnde Haftung; Erfolgsfaktoren: Führungsverpflichtung, Pflegechampions; Nachhaltigkeit erfordert formale Politikintegration und psychologische Sicherheit.</w:t>
      </w:r>
    </w:p>
    <w:p>
      <w:r>
        <w:rPr>
          <w:b/>
          <w:sz w:val="19"/>
        </w:rPr>
        <w:t xml:space="preserve">Übertragbarkeit: </w:t>
      </w:r>
      <w:r>
        <w:rPr>
          <w:sz w:val="19"/>
        </w:rPr>
        <w:t>Nordafrika/Mittelmeerregion, Erkenntnisse zu Implementierungsbarrieren übertragbar auf deutsche OP-Kulturen.</w:t>
      </w:r>
    </w:p>
    <w:p>
      <w:r>
        <w:rPr>
          <w:color w:val="5A7D3A"/>
          <w:sz w:val="18"/>
        </w:rPr>
        <w:t>https://pubmed.ncbi.nlm.nih.gov/42899451/</w:t>
      </w:r>
    </w:p>
    <w:p>
      <w:pPr>
        <w:pStyle w:val="Heading2"/>
      </w:pPr>
      <w:r>
        <w:t>Präoperative Hauterkrankung, Lebererkrankung und Hämoglobin-Abfall erhöhen SSI-Risiko nach Knievalgus-Osteotomie</w:t>
      </w:r>
    </w:p>
    <w:p>
      <w:r>
        <w:rPr>
          <w:i/>
          <w:color w:val="666666"/>
          <w:sz w:val="18"/>
        </w:rPr>
        <w:t>Arai Y et al.  ·  BMC Musculoskelet Disord  ·  23.07.2026  ·  PMID 42897581</w:t>
      </w:r>
    </w:p>
    <w:p>
      <w:r>
        <w:t>Multizentrische retrospektive Studie mit 247 Patienten (302 Knie) zur Identifizierung präoperativer Faktoren für chirurgische Wundinfektionen, die Reoperationen erfordern.</w:t>
      </w:r>
    </w:p>
    <w:p>
      <w:r>
        <w:rPr>
          <w:b/>
        </w:rPr>
        <w:t xml:space="preserve">Ergebnis: </w:t>
      </w:r>
      <w:r>
        <w:t>SSI-Rate 4,0% (12/302 Knie); präoperative Hauterkrankung, präoperative Lebererkrankung und postoperativer Hämoglobin-Abfall waren unabhängig assoziiert mit SSI. Assoziationen blieben in Sensitivitätsanalysen konsistent; prädiktive Faktoren könnten Risikoeinschätzung verbessern.</w:t>
      </w:r>
    </w:p>
    <w:p>
      <w:r>
        <w:rPr>
          <w:b/>
          <w:sz w:val="19"/>
        </w:rPr>
        <w:t xml:space="preserve">Übertragbarkeit: </w:t>
      </w:r>
      <w:r>
        <w:rPr>
          <w:sz w:val="19"/>
        </w:rPr>
        <w:t>Japan, vergleichbare orthopädische Versorgung und SSI-Überwachung.</w:t>
      </w:r>
    </w:p>
    <w:p>
      <w:r>
        <w:rPr>
          <w:color w:val="5A7D3A"/>
          <w:sz w:val="18"/>
        </w:rPr>
        <w:t>https://pubmed.ncbi.nlm.nih.gov/42897581/</w:t>
      </w:r>
    </w:p>
    <w:p>
      <w:pPr>
        <w:pStyle w:val="Heading2"/>
      </w:pPr>
      <w:r>
        <w:t>Modifizierte Kraske-Prozedur für retroraktale Tumoren: 4,3% Infektionsrate</w:t>
      </w:r>
    </w:p>
    <w:p>
      <w:r>
        <w:rPr>
          <w:i/>
          <w:color w:val="666666"/>
          <w:sz w:val="18"/>
        </w:rPr>
        <w:t>Bayraktar A et al.  ·  BMC Surg  ·  23.07.2026  ·  PMID 42897508</w:t>
      </w:r>
    </w:p>
    <w:p>
      <w:r>
        <w:t>Prospektive Fallserie mit 23 Patienten, die sich einer modifizierten Kraske-Prozedur zur Resektion retroraktaler Tumoren mit Fokus auf chirurgische Wundinfektionen (SSI) unterzogen.</w:t>
      </w:r>
    </w:p>
    <w:p>
      <w:r>
        <w:rPr>
          <w:b/>
        </w:rPr>
        <w:t xml:space="preserve">Ergebnis: </w:t>
      </w:r>
      <w:r>
        <w:t>SSI-Rate von nur 4,3% (1 von 23 Patienten), mittlere Operationsdauer 113 Min, Blutverlust 364,5 mL, keine Infektionsrezidive in 12–29 Monaten Nachverfolgung, gute Wundheilung und niedriges Morbidität-Profil.</w:t>
      </w:r>
    </w:p>
    <w:p>
      <w:r>
        <w:rPr>
          <w:b/>
          <w:sz w:val="19"/>
        </w:rPr>
        <w:t xml:space="preserve">Übertragbarkeit: </w:t>
      </w:r>
      <w:r>
        <w:rPr>
          <w:sz w:val="19"/>
        </w:rPr>
        <w:t>Deutschland/Österreich/Schweiz, vergleichbare Operationstechniken und SSI-Überwachung.</w:t>
      </w:r>
    </w:p>
    <w:p>
      <w:r>
        <w:rPr>
          <w:color w:val="5A7D3A"/>
          <w:sz w:val="18"/>
        </w:rPr>
        <w:t>https://pubmed.ncbi.nlm.nih.gov/42897508/</w:t>
      </w:r>
    </w:p>
    <w:p>
      <w:pPr>
        <w:pStyle w:val="Heading2"/>
      </w:pPr>
      <w:r>
        <w:t>Carbapenem-Resistenz bei pädiatrischen Acinetobacter-Infektionen erhöht 30-Tage-Sterblichkeit</w:t>
      </w:r>
    </w:p>
    <w:p>
      <w:r>
        <w:rPr>
          <w:i/>
          <w:color w:val="666666"/>
          <w:sz w:val="18"/>
        </w:rPr>
        <w:t>Karauzum SE et al.  ·  Eur J Pediatr  ·  20.10.2026  ·  PMID 42897394</w:t>
      </w:r>
    </w:p>
    <w:p>
      <w:r>
        <w:t>Retrospektive Kohortenstudie mit 128 Episoden pädiatrischer Acinetobacter-Blutstrominfektion über 12 Jahre zur Identifizierung von Risikofaktoren für Carbapenem-Resistenz und Mortalität.</w:t>
      </w:r>
    </w:p>
    <w:p>
      <w:r>
        <w:rPr>
          <w:b/>
        </w:rPr>
        <w:t xml:space="preserve">Ergebnis: </w:t>
      </w:r>
      <w:r>
        <w:t>Carbapenem-Resistenz in 42,2% (54/128 Episoden, alle A. baumannii); mechanische Beatmung (aOR 23,77; 95% CI 7,54–74,92), längerer präinfektionärer Krankenhausaufenthalt und vorige Meropenem-Exposition waren Resistenztreiber; 30-Tage-Mortalität 22,2% (CR) vs. 6,8% (nicht-resistent).</w:t>
      </w:r>
    </w:p>
    <w:p>
      <w:r>
        <w:rPr>
          <w:b/>
          <w:sz w:val="19"/>
        </w:rPr>
        <w:t xml:space="preserve">Übertragbarkeit: </w:t>
      </w:r>
      <w:r>
        <w:rPr>
          <w:sz w:val="19"/>
        </w:rPr>
        <w:t>Türkei, europäisches System, vergleichbare Pädiatrie-Intensivmedizin.</w:t>
      </w:r>
    </w:p>
    <w:p>
      <w:r>
        <w:rPr>
          <w:color w:val="5A7D3A"/>
          <w:sz w:val="18"/>
        </w:rPr>
        <w:t>https://pubmed.ncbi.nlm.nih.gov/42897394/</w:t>
      </w:r>
    </w:p>
    <w:p>
      <w:pPr>
        <w:pStyle w:val="Heading1"/>
      </w:pPr>
      <w:r>
        <w:t>Aufgenommen am 20.10.2026</w:t>
      </w:r>
    </w:p>
    <w:p>
      <w:pPr>
        <w:pStyle w:val="Heading2"/>
      </w:pPr>
      <w:r>
        <w:t>Checklisten-Tool reduziert unerwünschte Ereignisse bei Filler-Injektionen um 4,44 %</w:t>
      </w:r>
    </w:p>
    <w:p>
      <w:r>
        <w:rPr>
          <w:i/>
          <w:color w:val="666666"/>
          <w:sz w:val="18"/>
        </w:rPr>
        <w:t>Dimou C et al.  ·  Plast Aesthet Nurs (Phila)  ·  Okt. 2026  ·  PMID 42895918</w:t>
      </w:r>
    </w:p>
    <w:p>
      <w:r>
        <w:t>Qualitätsverbesserungsprojekt mit Vor-/Nach-Design über 12+6 Wochen in einer Schönheitsklinik zur Prüfung, ob die Assessment-Cosmetic-Injection-Safety-Tool (ACIST) Hautreaktionen und unerwünschte Ereignisse senkt.</w:t>
      </w:r>
    </w:p>
    <w:p>
      <w:r>
        <w:rPr>
          <w:b/>
        </w:rPr>
        <w:t xml:space="preserve">Ergebnis: </w:t>
      </w:r>
      <w:r>
        <w:t>ACIST wurde von 2 Nurse Practitionern eingesetzt. Keine statistisch signifikante Reduktion von Hautreaktionen beobachtet. Das Tool identifizierte jedoch erfolgreich Hochrisikofälle, verzögerte Behandlung und reduzierte unerwünschte Ereignisse in 4,44 % der Termine (chi²-Analyse). Das Tool verbesserte die Patientensicherheitskultur und operative Effizienz, obwohl statistische Signifikanz nicht erreicht wurde.</w:t>
      </w:r>
    </w:p>
    <w:p>
      <w:r>
        <w:rPr>
          <w:b/>
          <w:sz w:val="19"/>
        </w:rPr>
        <w:t xml:space="preserve">Übertragbarkeit: </w:t>
      </w:r>
      <w:r>
        <w:rPr>
          <w:sz w:val="19"/>
        </w:rPr>
        <w:t>USA; Sicherheits-Checklisten-Methodik ist international anwendbar</w:t>
      </w:r>
    </w:p>
    <w:p>
      <w:r>
        <w:rPr>
          <w:color w:val="5A7D3A"/>
          <w:sz w:val="18"/>
        </w:rPr>
        <w:t>https://pubmed.ncbi.nlm.nih.gov/42895918/</w:t>
      </w:r>
    </w:p>
    <w:p>
      <w:pPr>
        <w:pStyle w:val="Heading2"/>
      </w:pPr>
      <w:r>
        <w:t>Entzündungsbiomarker ESP-1 und HBP zeigen Schweregrad von Sepsis-bedingtem ARDS bei Älteren</w:t>
      </w:r>
    </w:p>
    <w:p>
      <w:r>
        <w:rPr>
          <w:i/>
          <w:color w:val="666666"/>
          <w:sz w:val="18"/>
        </w:rPr>
        <w:t>Chen S et al.  ·  Clin Interv Aging  ·  14.10.2026  ·  PMID 42894682</w:t>
      </w:r>
    </w:p>
    <w:p>
      <w:r>
        <w:t>Querschnittsstudie von 168 älteren Patienten (≥60 Jahre) mit Sepsis-assoziiertem ARDS, um Assoziationen von vier Entzündungsbiomarkern mit Schweregrad zu prüfen.</w:t>
      </w:r>
    </w:p>
    <w:p>
      <w:r>
        <w:rPr>
          <w:b/>
        </w:rPr>
        <w:t xml:space="preserve">Ergebnis: </w:t>
      </w:r>
      <w:r>
        <w:t>Alle vier Biomarker (ESM-1, suPAR, PCT, HBP) stiegen stufenweise über mild/moderat/schwer an (alle p&lt;0,001). ESM-1 zeigte stärkste Korrelation mit Schweregrad (r=0,557, p&lt;0,001) und größte ROC-AUC (0,800; 95%-KI 0,728–0,872), gefolgt von HBP (AUC 0,773), PCT (0,761), suPAR (0,704). Nach Adjustierung für Alter/Geschlecht blieben ESM-1 (OR 3,30; 95%-KI 1,60–6,83; p=0,001), PCT (OR 1,41; p=0,002) und HBP (OR 1,04; p&lt;0,001) unabhängig mit moderat-schwerer ARDS assoziiert.</w:t>
      </w:r>
    </w:p>
    <w:p>
      <w:r>
        <w:rPr>
          <w:b/>
          <w:sz w:val="19"/>
        </w:rPr>
        <w:t xml:space="preserve">Übertragbarkeit: </w:t>
      </w:r>
      <w:r>
        <w:rPr>
          <w:sz w:val="19"/>
        </w:rPr>
        <w:t>China; Biomarker-Ansatz für Schwere-Stratifikation unabhängig vom System</w:t>
      </w:r>
    </w:p>
    <w:p>
      <w:r>
        <w:rPr>
          <w:color w:val="5A7D3A"/>
          <w:sz w:val="18"/>
        </w:rPr>
        <w:t>https://pubmed.ncbi.nlm.nih.gov/42894682/</w:t>
      </w:r>
    </w:p>
    <w:p>
      <w:pPr>
        <w:pStyle w:val="Heading2"/>
      </w:pPr>
      <w:r>
        <w:t>Simulation zeigt latente Sicherheitsrisiken bei internen Massenunfällen in Krankenhäusern</w:t>
      </w:r>
    </w:p>
    <w:p>
      <w:r>
        <w:rPr>
          <w:i/>
          <w:color w:val="666666"/>
          <w:sz w:val="18"/>
        </w:rPr>
        <w:t>Katz-Dana H et al.  ·  Disaster Med Public Health Prep  ·  19.10.2026  ·  PMID 42894412</w:t>
      </w:r>
    </w:p>
    <w:p>
      <w:r>
        <w:t>Multizentrische simulationsgestützte Systemtestung (SbCST) in zwei israelischen Krankenhäusern zur Identifikation latenter Sicherheitsbedrohungen (LST) bei internen Massenunfällen.</w:t>
      </w:r>
    </w:p>
    <w:p>
      <w:r>
        <w:rPr>
          <w:b/>
        </w:rPr>
        <w:t xml:space="preserve">Ergebnis: </w:t>
      </w:r>
      <w:r>
        <w:t>Zwei Krankenhäuser durchliefen in-situ-Simulation mit anschließender Failure-Modes-Effects-Analysis. Aus 75–80 Beobachtungen wurden 53 eindeutige LST extrahiert. Recurrente Vulnerabilität in: Führung, Patientenfluss, Kommunikation, Triage und Systemschnittstellen. Ein erheblicher Anteil wurde als hoch oder sehr hoch priorisiert bewertet (Median-FMEA-Scores: Standort 1 = 30 [IQR 24–36], Standort 2 = 32 [IQR 24–48]). Für etwa 60–65 % der LST wurden Minderungsmaßnahmen vorgeschlagen.</w:t>
      </w:r>
    </w:p>
    <w:p>
      <w:r>
        <w:rPr>
          <w:b/>
          <w:sz w:val="19"/>
        </w:rPr>
        <w:t xml:space="preserve">Übertragbarkeit: </w:t>
      </w:r>
      <w:r>
        <w:rPr>
          <w:sz w:val="19"/>
        </w:rPr>
        <w:t>Israel; Methodik und Sicherheitskultur-Befunde sind auf deutsches Krankenhaus-Notfallmanagement übertragbar</w:t>
      </w:r>
    </w:p>
    <w:p>
      <w:r>
        <w:rPr>
          <w:color w:val="5A7D3A"/>
          <w:sz w:val="18"/>
        </w:rPr>
        <w:t>https://pubmed.ncbi.nlm.nih.gov/42894412/</w:t>
      </w:r>
    </w:p>
    <w:p>
      <w:pPr>
        <w:pStyle w:val="Heading2"/>
      </w:pPr>
      <w:r>
        <w:t>Prophylaktische Antibiotika über 48 h nach Dickdarmresektionen verhindern Wundinfektionen nicht</w:t>
      </w:r>
    </w:p>
    <w:p>
      <w:r>
        <w:rPr>
          <w:i/>
          <w:color w:val="666666"/>
          <w:sz w:val="18"/>
        </w:rPr>
        <w:t>Yang Y et al.  ·  BMC Infect Dis  ·  01.09.2026  ·  PMID 42894129</w:t>
      </w:r>
    </w:p>
    <w:p>
      <w:r>
        <w:t>Retrospektive Analyse von 2691 Patienten mit Dickdarmresektion, um zu prüfen, ob verlängerte Prophylaxe die Infektionsrate senkt.</w:t>
      </w:r>
    </w:p>
    <w:p>
      <w:r>
        <w:rPr>
          <w:b/>
        </w:rPr>
        <w:t xml:space="preserve">Ergebnis: </w:t>
      </w:r>
      <w:r>
        <w:t>Bei 2691 Patienten betrug die Wundinfektionsrate 8,51 %, die Rate sonstiger nosokomialer Infektionen 8,06 %. Nach Propensity-Score-Matching war verlängerte Prophylaxe (&gt;48 h) mit SSI nicht assoziiert (OR 0,85; 95%-KI 0,59–1,21; p=0,356) und nicht mit anderen nosokomialen Infektionen (OR 0,81; 95%-KI 0,54–1,23; p=0,325). Die Gesamtkosten waren in der Gruppe mit verlängerter Prophylaxe höher (57.349 ¥ vs. 55.039 ¥; p=0,0006), ohne die Liegedauer zu verkürzen. Ergebnis: Verlängerte Prophylaxe bringt keinen Nutzen und erhöht Kosten.</w:t>
      </w:r>
    </w:p>
    <w:p>
      <w:r>
        <w:rPr>
          <w:b/>
          <w:sz w:val="19"/>
        </w:rPr>
        <w:t xml:space="preserve">Übertragbarkeit: </w:t>
      </w:r>
      <w:r>
        <w:rPr>
          <w:sz w:val="19"/>
        </w:rPr>
        <w:t>China, aber Outcome und Kosteneffektivität sind universell; Fragestellung unabhängig vom System</w:t>
      </w:r>
    </w:p>
    <w:p>
      <w:r>
        <w:rPr>
          <w:color w:val="5A7D3A"/>
          <w:sz w:val="18"/>
        </w:rPr>
        <w:t>https://pubmed.ncbi.nlm.nih.gov/42894129/</w:t>
      </w:r>
    </w:p>
    <w:p>
      <w:pPr>
        <w:pStyle w:val="Heading2"/>
      </w:pPr>
      <w:r>
        <w:t>Unangepasste Initialtherapie bei Pyelonephritis verzögert Krankenhausentlassung nicht</w:t>
      </w:r>
    </w:p>
    <w:p>
      <w:r>
        <w:rPr>
          <w:i/>
          <w:color w:val="666666"/>
          <w:sz w:val="18"/>
        </w:rPr>
        <w:t>Salinas-Mendoza S et al.  ·  BMC Infect Dis  ·  22.07.2026  ·  PMID 42894114</w:t>
      </w:r>
    </w:p>
    <w:p>
      <w:r>
        <w:t>Retrospektive Kohortenstudie von 321 Patienten mit ambulant erworbener akuter Pyelonephritis, um zu prüfen, ob unangepasste Initialtherapie den Krankenhausaufenthalt verlängert.</w:t>
      </w:r>
    </w:p>
    <w:p>
      <w:r>
        <w:rPr>
          <w:b/>
        </w:rPr>
        <w:t xml:space="preserve">Ergebnis: </w:t>
      </w:r>
      <w:r>
        <w:t>60 von 321 Patienten erhielten unangepasste Therapie (dokumentierte Resistenz im Urin). Mediane Liegedauer 2,64 Tage. Nach inverser Wahrscheinlichkeitsgewichtung war unangepasste Therapie nicht mit längerer Aufenthaltsdauer assoziiert (HR 0,97; 95%-KI 0,71–1,33) und nicht mit erhöhtem Wiederaufnahmerisiko in 30 Tagen (OR 1,42; 95%-KI 0,65–3,06; p nicht signifikant).</w:t>
      </w:r>
    </w:p>
    <w:p>
      <w:r>
        <w:rPr>
          <w:b/>
          <w:sz w:val="19"/>
        </w:rPr>
        <w:t xml:space="preserve">Übertragbarkeit: </w:t>
      </w:r>
      <w:r>
        <w:rPr>
          <w:sz w:val="19"/>
        </w:rPr>
        <w:t>Kolumbien; Konzept der Initialtherapie-Anpassung gilt auch in Deutschland</w:t>
      </w:r>
    </w:p>
    <w:p>
      <w:r>
        <w:rPr>
          <w:color w:val="5A7D3A"/>
          <w:sz w:val="18"/>
        </w:rPr>
        <w:t>https://pubmed.ncbi.nlm.nih.gov/42894114/</w:t>
      </w:r>
    </w:p>
    <w:p>
      <w:pPr>
        <w:pStyle w:val="Heading2"/>
      </w:pPr>
      <w:r>
        <w:t>Mikrobielle Bindungsverbände bei geschlossenen Operationswunden reduzieren Infektionen</w:t>
      </w:r>
    </w:p>
    <w:p>
      <w:r>
        <w:rPr>
          <w:i/>
          <w:color w:val="666666"/>
          <w:sz w:val="18"/>
        </w:rPr>
        <w:t>Günther B et al.  ·  J Wound Care  ·  08.10.2026  ·  PMID 42847510</w:t>
      </w:r>
    </w:p>
    <w:p>
      <w:r>
        <w:t>Fallsammlung zur Antibiotic-Stewardship-Rolle und Effektivität von Mikrobien-bindenden Wundauflagen bei geschlossenen operativen Wunden.</w:t>
      </w:r>
    </w:p>
    <w:p>
      <w:r>
        <w:rPr>
          <w:b/>
        </w:rPr>
        <w:t xml:space="preserve">Ergebnis: </w:t>
      </w:r>
      <w:r>
        <w:t>Die Fallserie dokumentiert, dass spezialisierte Wundauflagen mit mikrobieller Bindungskapazität in geschlossenen Wunden Infektionsereignisse reduzieren und gleichzeitig den Einsatz systemischer Antibiotika begrenzen. Die genauen Infektionsraten sind in dieser Fallsammlung nicht quantifiziert; der Fokus liegt auf der Darstellung des Stewardship-Nutzen und mechanistischen Ansatzes.</w:t>
      </w:r>
    </w:p>
    <w:p>
      <w:r>
        <w:rPr>
          <w:b/>
          <w:sz w:val="19"/>
        </w:rPr>
        <w:t xml:space="preserve">Übertragbarkeit: </w:t>
      </w:r>
      <w:r>
        <w:rPr>
          <w:sz w:val="19"/>
        </w:rPr>
        <w:t>Norwegen/Kanada; Wundbewirtschaftungsprinzipien gelten international</w:t>
      </w:r>
    </w:p>
    <w:p>
      <w:r>
        <w:rPr>
          <w:color w:val="5A7D3A"/>
          <w:sz w:val="18"/>
        </w:rPr>
        <w:t>https://pubmed.ncbi.nlm.nih.gov/42847510/</w:t>
      </w:r>
    </w:p>
    <w:p>
      <w:pPr>
        <w:pStyle w:val="Heading1"/>
      </w:pPr>
      <w:r>
        <w:t>Aufgenommen am 19.10.2026</w:t>
      </w:r>
    </w:p>
    <w:p>
      <w:pPr>
        <w:pStyle w:val="Heading2"/>
      </w:pPr>
      <w:r>
        <w:t>Invasive Verfahren erhöhen Mortalität bei älteren Patienten mit Blutbahninfektionen</w:t>
      </w:r>
    </w:p>
    <w:p>
      <w:r>
        <w:rPr>
          <w:i/>
          <w:color w:val="666666"/>
          <w:sz w:val="18"/>
        </w:rPr>
        <w:t>Yu Z et al.  ·  Clin Interv Aging  ·  12.10.2026  ·  PMID 42892862</w:t>
      </w:r>
    </w:p>
    <w:p>
      <w:r>
        <w:t>Retrospektive Kohortenstudie an 527 älteren Patienten (≥65 Jahre) mit Blutbahninfektionen in einer geriatrischen Klinik in Peking zur Identifikation von Mortalitätsprädiktoren.</w:t>
      </w:r>
    </w:p>
    <w:p>
      <w:r>
        <w:rPr>
          <w:b/>
        </w:rPr>
        <w:t xml:space="preserve">Ergebnis: </w:t>
      </w:r>
      <w:r>
        <w:t>Prolongierte mechanische Beatmung war der stärkste Mortalitätsfaktor (1–30 Tage: OR 12,70, 95%-KI 5,86–29,00; 31–90 Tage: OR 3,21, 95%-KI 1,53–6,89). Katheternutzung (zentral oder urethral für 1–60 Tage) und Chemotherapie/Strahlentherapie erhöhten die Mortalität ebenfalls signifikant (OR 2,56 bzw. 2,28 bzw. 3,25). Die Thrombozytenzahl war der beste prognostische Marker (AUC 0,79).</w:t>
      </w:r>
    </w:p>
    <w:p>
      <w:r>
        <w:rPr>
          <w:b/>
          <w:sz w:val="19"/>
        </w:rPr>
        <w:t xml:space="preserve">Übertragbarkeit: </w:t>
      </w:r>
      <w:r>
        <w:rPr>
          <w:sz w:val="19"/>
        </w:rPr>
        <w:t>China – Settings und Patienten unterscheiden sich von Deutschland, Befund zu invasiven Maßnahmen aber Versorgungsrelevanz</w:t>
      </w:r>
    </w:p>
    <w:p>
      <w:r>
        <w:rPr>
          <w:color w:val="5A7D3A"/>
          <w:sz w:val="18"/>
        </w:rPr>
        <w:t>https://pubmed.ncbi.nlm.nih.gov/42892862/</w:t>
      </w:r>
    </w:p>
    <w:p>
      <w:pPr>
        <w:pStyle w:val="Heading2"/>
      </w:pPr>
      <w:r>
        <w:t>Demenz-Nebenwirkungen: 33.772 FDA-Meldungen deuten auf Immunsuppressiva, Antipsychotika und Zytostatika</w:t>
      </w:r>
    </w:p>
    <w:p>
      <w:r>
        <w:rPr>
          <w:i/>
          <w:color w:val="666666"/>
          <w:sz w:val="18"/>
        </w:rPr>
        <w:t>Tao T et al.  ·  Medicine (Baltimore)  ·  16.10.2026  ·  PMID 42888596</w:t>
      </w:r>
    </w:p>
    <w:p>
      <w:r>
        <w:t>Pharmakovigilanz-Analyse von Demenz-assoziierten Nebenwirkungsberichten aus der FDA Adverse Event Reporting System (FAERS)-Datenbank von Q1 2004 bis Q1 2024 mit Disproportionalitätsanalyse.</w:t>
      </w:r>
    </w:p>
    <w:p>
      <w:r>
        <w:rPr>
          <w:b/>
        </w:rPr>
        <w:t xml:space="preserve">Ergebnis: </w:t>
      </w:r>
      <w:r>
        <w:t>33.772 Berichte zu 1.103 Verdachtsdrogen wurden identifiziert. Immunsuppressiva, Psycholeptika und Antineoplastika waren die am häufigsten gemeldeten Kategorien. Apixaban zeigte die höchsten Fallzahlen, gefolgt von Pimavanserin und Lenalidomid. Disproportionalitätsanalyse ergab 191 Drogen mit potentiellen Demenz-Signalen und 135 mit Effektmodifikation.</w:t>
      </w:r>
    </w:p>
    <w:p>
      <w:r>
        <w:rPr>
          <w:b/>
          <w:sz w:val="19"/>
        </w:rPr>
        <w:t xml:space="preserve">Übertragbarkeit: </w:t>
      </w:r>
      <w:r>
        <w:rPr>
          <w:sz w:val="19"/>
        </w:rPr>
        <w:t>USA FAERS-Datenbank – Signale müssen in europäischen Registern validiert werden, Meldequoten nicht direkt vergleichbar</w:t>
      </w:r>
    </w:p>
    <w:p>
      <w:r>
        <w:rPr>
          <w:color w:val="5A7D3A"/>
          <w:sz w:val="18"/>
        </w:rPr>
        <w:t>https://pubmed.ncbi.nlm.nih.gov/42888596/</w:t>
      </w:r>
    </w:p>
    <w:p>
      <w:pPr>
        <w:pStyle w:val="Heading2"/>
      </w:pPr>
      <w:r>
        <w:t>Medikamentenverschwendung auf Intensivstationen: Kategorien, aber keine Interventionsergebnisse</w:t>
      </w:r>
    </w:p>
    <w:p>
      <w:r>
        <w:rPr>
          <w:i/>
          <w:color w:val="666666"/>
          <w:sz w:val="18"/>
        </w:rPr>
        <w:t>Liang L et al.  ·  Nurs Crit Care  ·  Nov. 2026  ·  PMID 42885869</w:t>
      </w:r>
    </w:p>
    <w:p>
      <w:r>
        <w:t>Gemischte systematische Übersicht zu Erfassung, Mechanismen und Prävention von intravenöser Medikamentenverschwendung auf Intensivstationen in 25 Berichten aus 21 unabhängigen Studien.</w:t>
      </w:r>
    </w:p>
    <w:p>
      <w:r>
        <w:rPr>
          <w:b/>
        </w:rPr>
        <w:t xml:space="preserve">Ergebnis: </w:t>
      </w:r>
      <w:r>
        <w:t>Verschwendung gliederte sich in fünf Kategorien: ungenutzte Präparate, Verlust nach Verordnung oder Ereignis, Restmengen in Behältern, Rückstände in Systemen und Materialfluss-Verluste. Nur 10 von 21 Studien nannten explizit den Nenner; keine Studie verband Verschwendung mit Patientenergebnissen. Interventionsevidenz war unkontrolliert oder modelliert.</w:t>
      </w:r>
    </w:p>
    <w:p>
      <w:r>
        <w:rPr>
          <w:b/>
          <w:sz w:val="19"/>
        </w:rPr>
        <w:t xml:space="preserve">Übertragbarkeit: </w:t>
      </w:r>
      <w:r>
        <w:rPr>
          <w:sz w:val="19"/>
        </w:rPr>
        <w:t>UK und Mehrländer – Dokumentationsstandards ähnlich Deutschland, Problem versorgungsrelevant</w:t>
      </w:r>
    </w:p>
    <w:p>
      <w:r>
        <w:rPr>
          <w:color w:val="5A7D3A"/>
          <w:sz w:val="18"/>
        </w:rPr>
        <w:t>https://pubmed.ncbi.nlm.nih.gov/42885869/</w:t>
      </w:r>
    </w:p>
    <w:p>
      <w:pPr>
        <w:pStyle w:val="Heading2"/>
      </w:pPr>
      <w:r>
        <w:t>Blutglukose kontrolliert Armfunktion nach traumatischer Infektion – frühe Reha hilft teilweise</w:t>
      </w:r>
    </w:p>
    <w:p>
      <w:r>
        <w:rPr>
          <w:i/>
          <w:color w:val="666666"/>
          <w:sz w:val="18"/>
        </w:rPr>
        <w:t>Chen S et al.  ·  J Plast Surg Hand Surg  ·  16.10.2026  ·  PMID 42885545</w:t>
      </w:r>
    </w:p>
    <w:p>
      <w:r>
        <w:t>Retrospektive Kohortenstudie mit 100 Patienten mit Fraktur-assoziierten Infektionen (FRI) nach Oberlimben-Trauma zur Untersuchung der Assoziation zwischen präoperativem HbA1c und Armfunktion (DASH-Score) nach 6 Monaten sowie der vermittelnden Rolle der Reha-Initiation.</w:t>
      </w:r>
    </w:p>
    <w:p>
      <w:r>
        <w:rPr>
          <w:b/>
        </w:rPr>
        <w:t xml:space="preserve">Ergebnis: </w:t>
      </w:r>
      <w:r>
        <w:t>HbA1c war signifikant positiv mit DASH-Score assoziiert (β=6,90, 95%-KI 3,91–9,89, p&lt;0,001). Rehabilitation-Initiierungszeit spielte eine Teilmediation: indirekte Effekt 2,04 (95%-KI 0,63–3,59, p=0,004), Mediationsanteil 27%. Kein signifikanter Interaktionseffekt mit HbA1c oder Débridement-Häufigkeit.</w:t>
      </w:r>
    </w:p>
    <w:p>
      <w:r>
        <w:rPr>
          <w:b/>
          <w:sz w:val="19"/>
        </w:rPr>
        <w:t xml:space="preserve">Übertragbarkeit: </w:t>
      </w:r>
      <w:r>
        <w:rPr>
          <w:sz w:val="19"/>
        </w:rPr>
        <w:t>China – Prinzip der Glykämie-Kontrolle und frühester Reha-Initiation universell, Outcome-Messung vergleichbar</w:t>
      </w:r>
    </w:p>
    <w:p>
      <w:r>
        <w:rPr>
          <w:color w:val="5A7D3A"/>
          <w:sz w:val="18"/>
        </w:rPr>
        <w:t>https://pubmed.ncbi.nlm.nih.gov/42885545/</w:t>
      </w:r>
    </w:p>
    <w:p>
      <w:pPr>
        <w:pStyle w:val="Heading2"/>
      </w:pPr>
      <w:r>
        <w:t>Katheter-assoziierte Harnwegsinfektionen: bisherige Vorhersagemodelle unbrauchbar</w:t>
      </w:r>
    </w:p>
    <w:p>
      <w:r>
        <w:rPr>
          <w:i/>
          <w:color w:val="666666"/>
          <w:sz w:val="18"/>
        </w:rPr>
        <w:t>Mengqi Z et al.  ·  Front Public Health  ·  30.09.2026  ·  PMID 42877209</w:t>
      </w:r>
    </w:p>
    <w:p>
      <w:r>
        <w:t>Systematische Übersicht mit kritischer Bewertung von 18 publizierten Vorhersagemodellen für katheter-assoziierte Harnwegsinfektionen (CAUTI) bei erwachsenen stationären Patienten.</w:t>
      </w:r>
    </w:p>
    <w:p>
      <w:r>
        <w:rPr>
          <w:b/>
        </w:rPr>
        <w:t xml:space="preserve">Ergebnis: </w:t>
      </w:r>
      <w:r>
        <w:t>Alle 13 Berichte wurden wegen hohen Verzerrungsrisiko bewertet, hauptsächlich durch zeitliche Datenüberlappung, unzureichendes Events-pro-Variable-Verhältnis und fehlende externe Validierung. Nur zwei Modelle führten externe Validierung durch (AUC 0,758 und 0,970). Keine der bisherigen Arbeiten reicht für klinische Implementierung aus.</w:t>
      </w:r>
    </w:p>
    <w:p>
      <w:r>
        <w:rPr>
          <w:b/>
          <w:sz w:val="19"/>
        </w:rPr>
        <w:t xml:space="preserve">Übertragbarkeit: </w:t>
      </w:r>
      <w:r>
        <w:rPr>
          <w:sz w:val="19"/>
        </w:rPr>
        <w:t>Mehrländische Analyse – unterstreicht Forschungslücke auch für Deutschland</w:t>
      </w:r>
    </w:p>
    <w:p>
      <w:r>
        <w:rPr>
          <w:color w:val="5A7D3A"/>
          <w:sz w:val="18"/>
        </w:rPr>
        <w:t>https://pubmed.ncbi.nlm.nih.gov/42877209/</w:t>
      </w:r>
    </w:p>
    <w:p>
      <w:pPr>
        <w:pStyle w:val="Heading2"/>
      </w:pPr>
      <w:r>
        <w:t>Medikamenteninduzierte Gallengangsverluste: benigne Prognose trotz verzögerter Erholung</w:t>
      </w:r>
    </w:p>
    <w:p>
      <w:r>
        <w:rPr>
          <w:i/>
          <w:color w:val="666666"/>
          <w:sz w:val="18"/>
        </w:rPr>
        <w:t>Bessone F et al.  ·  Liver Int  ·  Nov. 2026  ·  PMID 42860753</w:t>
      </w:r>
    </w:p>
    <w:p>
      <w:r>
        <w:t>Prospektive multinationale Registerstudie (Spanien, Lateinamerika) mit Leberbiopsien bei 298 Patienten zur Charakterisierung von arzneimittelinduzierten Gallengangverlusten (Drug-Induced Ductopenia, DID) und Langzeitergebnissen.</w:t>
      </w:r>
    </w:p>
    <w:p>
      <w:r>
        <w:rPr>
          <w:b/>
        </w:rPr>
        <w:t xml:space="preserve">Ergebnis: </w:t>
      </w:r>
      <w:r>
        <w:t>10 Fälle (3,4%) erfüllten DID-Kriterien (Ausfall interlobulärer Gallengänge in &gt;50% der Portaltrakte). Alle zeigten Ikterus, 40% einen Hautausschlag (vs. 9,4% ohne DID; p=0,013). Gesamtbilirubin war signifikant höher (Median 12 mg/dL vs. 6,6 mg/dL; p=0,027). Kein Tod oder Lebertransplantation trat auf; biochemische Erholung wurde in den meisten Fällen erreicht, teilweise verzögert.</w:t>
      </w:r>
    </w:p>
    <w:p>
      <w:r>
        <w:rPr>
          <w:b/>
          <w:sz w:val="19"/>
        </w:rPr>
        <w:t xml:space="preserve">Übertragbarkeit: </w:t>
      </w:r>
      <w:r>
        <w:rPr>
          <w:sz w:val="19"/>
        </w:rPr>
        <w:t>Spanien, Lateinamerika – vergleichbare Meldesysteme, DILI-Registry-Modell informativ für Deutschland</w:t>
      </w:r>
    </w:p>
    <w:p>
      <w:r>
        <w:rPr>
          <w:color w:val="5A7D3A"/>
          <w:sz w:val="18"/>
        </w:rPr>
        <w:t>https://pubmed.ncbi.nlm.nih.gov/42860753/</w:t>
      </w:r>
    </w:p>
    <w:p>
      <w:pPr>
        <w:pStyle w:val="Heading1"/>
      </w:pPr>
      <w:r>
        <w:t>Aufgenommen am 18.10.2026</w:t>
      </w:r>
    </w:p>
    <w:p>
      <w:pPr>
        <w:pStyle w:val="Heading2"/>
      </w:pPr>
      <w:r>
        <w:t>Antibiotic-Stewardship bei Leberzirrhose: Evidence-Lücken und Handlungsbedarf</w:t>
      </w:r>
    </w:p>
    <w:p>
      <w:r>
        <w:rPr>
          <w:i/>
          <w:color w:val="666666"/>
          <w:sz w:val="18"/>
        </w:rPr>
        <w:t>Ezzafzafi S et al.  ·  United European Gastroenterol J  ·  Okt. 2026  ·  PMID 42888911</w:t>
      </w:r>
    </w:p>
    <w:p>
      <w:r>
        <w:t>Narrative Übersicht der Evidenz hinter internationalen Leitlinien-Empfehlungen zu Antibiotic-Prophylaxe und empirischer Behandlung bei Zirrhose, mit kritischer Bewertung des Validitätszustands in der Ära multiresistenter Erreger.</w:t>
      </w:r>
    </w:p>
    <w:p>
      <w:r>
        <w:rPr>
          <w:b/>
        </w:rPr>
        <w:t xml:space="preserve">Ergebnis: </w:t>
      </w:r>
      <w:r>
        <w:t>Die Autoren zeigen, dass die zugrundeliegende Evidenz begrenzt ist und älter als die aktuelle Ära multiresistenter Erreger. Primärprophylaxe sollte neu überdacht werden, Rifaximin verdient Evaluation gegen etablierte Fluorochinolon-Regime, kürzere Antibiotika-Kurse könnten Standard-Durations nicht unterlegen sein. Neue doppelblind-kontrollierte Nicht-Unterlegenheits- und Bayesianische Studien sind erforderlich.</w:t>
      </w:r>
    </w:p>
    <w:p>
      <w:r>
        <w:rPr>
          <w:b/>
          <w:sz w:val="19"/>
        </w:rPr>
        <w:t xml:space="preserve">Übertragbarkeit: </w:t>
      </w:r>
      <w:r>
        <w:rPr>
          <w:sz w:val="19"/>
        </w:rPr>
        <w:t>Niederlande/UK, europäische Versorgungsrealität, direkter Antibiotic-Stewardship-Bezug</w:t>
      </w:r>
    </w:p>
    <w:p>
      <w:r>
        <w:rPr>
          <w:color w:val="5A7D3A"/>
          <w:sz w:val="18"/>
        </w:rPr>
        <w:t>https://pubmed.ncbi.nlm.nih.gov/42888911/</w:t>
      </w:r>
    </w:p>
    <w:p>
      <w:pPr>
        <w:pStyle w:val="Heading2"/>
      </w:pPr>
      <w:r>
        <w:t>Besuchssperre auf Intensivstation senkte nosokomiale Infektionen um zwei Drittel</w:t>
      </w:r>
    </w:p>
    <w:p>
      <w:r>
        <w:rPr>
          <w:i/>
          <w:color w:val="666666"/>
          <w:sz w:val="18"/>
        </w:rPr>
        <w:t>Ersoy Karka O et al.  ·  Medicine (Baltimore)  ·  16.10.2026  ·  PMID 42888540</w:t>
      </w:r>
    </w:p>
    <w:p>
      <w:r>
        <w:t>Vergleich der Infektionsraten zwischen Vor-Pandemie-Phase mit eingeschränktem Besuch und Pandemie-Phase mit Besuchsverbot in einer nichtCOVID-Intensivstation der Türkei (März 2019 bis März 2021).</w:t>
      </w:r>
    </w:p>
    <w:p>
      <w:r>
        <w:rPr>
          <w:b/>
        </w:rPr>
        <w:t xml:space="preserve">Ergebnis: </w:t>
      </w:r>
      <w:r>
        <w:t>Die Infektionsrate war in der Besuchssperre-Gruppe (6,1 %) signifikant niedriger als in der Kontrollgruppe (22,0 %, p&lt;0,001). In der episodengestützten Analyse: 10,4 % versus 33,0 % (p&lt;0,001). Die Zeit bis zum Infektionsbeginn war in der Besuchssperre-Gruppe signifikant länger (p=0,003). Beatmungsassoziierte Pneumonie zeigte standardisiertes Infektionsverhältnis-Reduktion (p=0,02); Acinetobacter-Isolate waren deutlich weniger häufig. Procalcitonin, CRP, Leukozyten und Laktat waren in der Besuchssperre-Phase signifikant niedriger.</w:t>
      </w:r>
    </w:p>
    <w:p>
      <w:r>
        <w:rPr>
          <w:b/>
          <w:sz w:val="19"/>
        </w:rPr>
        <w:t xml:space="preserve">Übertragbarkeit: </w:t>
      </w:r>
      <w:r>
        <w:rPr>
          <w:sz w:val="19"/>
        </w:rPr>
        <w:t>Türkei, Mehrschicht-Kontrollmaßnahmen in der Pandemie, Ergebnis nicht allein dem Besuchsverbot zurechenbar</w:t>
      </w:r>
    </w:p>
    <w:p>
      <w:r>
        <w:rPr>
          <w:color w:val="5A7D3A"/>
          <w:sz w:val="18"/>
        </w:rPr>
        <w:t>https://pubmed.ncbi.nlm.nih.gov/42888540/</w:t>
      </w:r>
    </w:p>
    <w:p>
      <w:pPr>
        <w:pStyle w:val="Heading2"/>
      </w:pPr>
      <w:r>
        <w:t>Blutkultur-positive Episoden in der Neonatologie: Wie Ärzte Infektion von Kontamination unterscheiden</w:t>
      </w:r>
    </w:p>
    <w:p>
      <w:r>
        <w:rPr>
          <w:i/>
          <w:color w:val="666666"/>
          <w:sz w:val="18"/>
        </w:rPr>
        <w:t>Schnee SV et al.  ·  BMC Infect Dis  ·  15.10.2026  ·  PMID 42888396</w:t>
      </w:r>
    </w:p>
    <w:p>
      <w:r>
        <w:t>Retrospektive Analyse von 189 blutkultur-positiven Episoden in einer deutschen Neugeborenen-Intensivstation (2014–2024), wie klinische Teams zwischen Infektion und Kontamination differenzieren.</w:t>
      </w:r>
    </w:p>
    <w:p>
      <w:r>
        <w:rPr>
          <w:b/>
        </w:rPr>
        <w:t xml:space="preserve">Ergebnis: </w:t>
      </w:r>
      <w:r>
        <w:t>Von 189 Episoden wurden 125 (66,1 %) als Infektion und 64 (33,9 %) als Kontamination attribuiert. Bei Koagulase-negativen Staphylokokken (CoNS) in der Spätphase wurden 64 von 101 Fällen (63,4 %) als Infektion klassifiziert, während in der Frühphase alle 13 CoNS-Fälle als Kontamination eingestuft wurden. Das maximale CRP zeigte die stärkste Assoziation mit der Attribuierung als Infektion (adjustiertes OR 4,41; 95%-KI 2,59–7,51). Die Ergebnisse beschreiben real-world-Praxis, nicht diagnostische Genauigkeit, und unterstreichen Bedarf für reproduzierbare Kriterien zur Unterstützung von Antibiotic Stewardship.</w:t>
      </w:r>
    </w:p>
    <w:p>
      <w:r>
        <w:rPr>
          <w:b/>
          <w:sz w:val="19"/>
        </w:rPr>
        <w:t xml:space="preserve">Übertragbarkeit: </w:t>
      </w:r>
      <w:r>
        <w:rPr>
          <w:sz w:val="19"/>
        </w:rPr>
        <w:t>Deutsche Klinikdaten, NICU mit vergleichbarem Dokumentationsstandard</w:t>
      </w:r>
    </w:p>
    <w:p>
      <w:r>
        <w:rPr>
          <w:color w:val="5A7D3A"/>
          <w:sz w:val="18"/>
        </w:rPr>
        <w:t>https://pubmed.ncbi.nlm.nih.gov/42888396/</w:t>
      </w:r>
    </w:p>
    <w:p>
      <w:pPr>
        <w:pStyle w:val="Heading2"/>
      </w:pPr>
      <w:r>
        <w:t>Beatmungsassoziierte Pneumonie: Diagnose neu definieren – Erreger allein reicht nicht</w:t>
      </w:r>
    </w:p>
    <w:p>
      <w:r>
        <w:rPr>
          <w:i/>
          <w:color w:val="666666"/>
          <w:sz w:val="18"/>
        </w:rPr>
        <w:t>Martin-Loeches I et al.  ·  Nat Commun  ·  16.10.2026  ·  PMID 42888246</w:t>
      </w:r>
    </w:p>
    <w:p>
      <w:r>
        <w:t>Perspektive zur Neukonzeptualisierung der Diagnose beatmungsassoziierter Pneumonie jenseits reiner Erregerdetektione, mit expliziter Bewertung der kausalen Plausibilität des Erregers für die aktuelle Lungenverletzung.</w:t>
      </w:r>
    </w:p>
    <w:p>
      <w:r>
        <w:rPr>
          <w:b/>
        </w:rPr>
        <w:t xml:space="preserve">Ergebnis: </w:t>
      </w:r>
      <w:r>
        <w:t>Der Rahmen schlägt eine explizite, gestufte und überprüfbare Bewertung vor, ob ein nachgewiesener Organismus die aktuelle Lungenverletzung plausibel verursacht. Das Framework umfasst Pneumonie während Beatmung, Pneumonie vor Intubation und Pneumonie bei nicht-beatmeten ICU-Patienten und sieht formale Neubewertung nach 48–72 Stunden vor, um Behandlung fortzusetzen, zu verengen oder zu beenden.</w:t>
      </w:r>
    </w:p>
    <w:p>
      <w:r>
        <w:rPr>
          <w:b/>
          <w:sz w:val="19"/>
        </w:rPr>
        <w:t xml:space="preserve">Übertragbarkeit: </w:t>
      </w:r>
      <w:r>
        <w:rPr>
          <w:sz w:val="19"/>
        </w:rPr>
        <w:t>Irland/Spanien, europäische ICU-Praxis, Diagnostic Stewardship-Konzept</w:t>
      </w:r>
    </w:p>
    <w:p>
      <w:r>
        <w:rPr>
          <w:color w:val="5A7D3A"/>
          <w:sz w:val="18"/>
        </w:rPr>
        <w:t>https://pubmed.ncbi.nlm.nih.gov/42888246/</w:t>
      </w:r>
    </w:p>
    <w:p>
      <w:pPr>
        <w:pStyle w:val="Heading2"/>
      </w:pPr>
      <w:r>
        <w:t>Hautdesinfektions-Umfang bei Hüftoperation reduziert Kontaminationsrisiko messbar</w:t>
      </w:r>
    </w:p>
    <w:p>
      <w:r>
        <w:rPr>
          <w:i/>
          <w:color w:val="666666"/>
          <w:sz w:val="18"/>
        </w:rPr>
        <w:t>Verhelst L et al.  ·  Acta Orthop Belg  ·  08.10.2026  ·  PMID 42885457</w:t>
      </w:r>
    </w:p>
    <w:p>
      <w:r>
        <w:t>Proof-of-concept-Studie an 6 Hautdesinfektions- und Abdeckungsprotokollen für die direkt-anteriore Hüftarthroplastie mit fluoreszierentem Kontaminationsmodell.</w:t>
      </w:r>
    </w:p>
    <w:p>
      <w:r>
        <w:rPr>
          <w:b/>
        </w:rPr>
        <w:t xml:space="preserve">Ergebnis: </w:t>
      </w:r>
      <w:r>
        <w:t>Keine Kontamination bei den vier ausgedehntesten Desinfektionsstrategien. Kontamination trat in 28,6 % der Fälle auf, wenn Fuß und Knöchel ausgeschlossen wurden, und in 57,1 %, wenn die Vorbereitung auf den Bereich oberhalb des Knies begrenzt war. Das Heben des Beins zur Desinfektion der Rückseite oder die Desinfektion des kontralateralen Beins reduzierte das Kontaminationsrisiko nicht.</w:t>
      </w:r>
    </w:p>
    <w:p>
      <w:r>
        <w:rPr>
          <w:b/>
          <w:sz w:val="19"/>
        </w:rPr>
        <w:t xml:space="preserve">Übertragbarkeit: </w:t>
      </w:r>
      <w:r>
        <w:rPr>
          <w:sz w:val="19"/>
        </w:rPr>
        <w:t>Belgien, vergleichbares OP-Standard-Managementsystem, Ergebnis übertragbar</w:t>
      </w:r>
    </w:p>
    <w:p>
      <w:r>
        <w:rPr>
          <w:color w:val="5A7D3A"/>
          <w:sz w:val="18"/>
        </w:rPr>
        <w:t>https://pubmed.ncbi.nlm.nih.gov/42885457/</w:t>
      </w:r>
    </w:p>
    <w:p>
      <w:pPr>
        <w:pStyle w:val="Heading2"/>
      </w:pPr>
      <w:r>
        <w:t>Risikomanagementsystem identifiziert 20 kritische Fehlerquellen bei Antipsychotika-Versorgung</w:t>
      </w:r>
    </w:p>
    <w:p>
      <w:r>
        <w:rPr>
          <w:i/>
          <w:color w:val="666666"/>
          <w:sz w:val="18"/>
        </w:rPr>
        <w:t>Felício LR et al.  ·  Cien Saude Colet  ·  09.10.2026  ·  PMID 42879620</w:t>
      </w:r>
    </w:p>
    <w:p>
      <w:r>
        <w:t>Qualitative Risikoanalyse der Zugangsbarrieren zu Antipsychotika in Brasilien (Basiskomponente vs. Spezialkomponente) unter Anwendung systematischer Risikobewertung.</w:t>
      </w:r>
    </w:p>
    <w:p>
      <w:r>
        <w:rPr>
          <w:b/>
        </w:rPr>
        <w:t xml:space="preserve">Ergebnis: </w:t>
      </w:r>
      <w:r>
        <w:t>20 Risikofälle identifiziert: 12 in Basiskomponente (60 %), 11 in Spezialkomponente (55 %), davon 7 gemeinsam. Beide Komponenten zeigen hohe und sehr hohe Risiken, die Mitigation erfordern. Risk Management half, Medikamentenzugang zu diskutieren und Entscheidungsfindung im Pharmazie-Management zu leiten. Weitergabe oder Transition zwischen Komponenten sollte sich an der Fähigkeit orientieren, Managementrisiken zu mindern.</w:t>
      </w:r>
    </w:p>
    <w:p>
      <w:r>
        <w:rPr>
          <w:b/>
          <w:sz w:val="19"/>
        </w:rPr>
        <w:t xml:space="preserve">Übertragbarkeit: </w:t>
      </w:r>
      <w:r>
        <w:rPr>
          <w:sz w:val="19"/>
        </w:rPr>
        <w:t>Brasilien, Risikomanagementsystem systematisch auf Medikations-Versorgung angewendet, Übertragbarkeit gering</w:t>
      </w:r>
    </w:p>
    <w:p>
      <w:r>
        <w:rPr>
          <w:color w:val="5A7D3A"/>
          <w:sz w:val="18"/>
        </w:rPr>
        <w:t>https://pubmed.ncbi.nlm.nih.gov/42879620/</w:t>
      </w:r>
    </w:p>
    <w:p>
      <w:pPr>
        <w:pStyle w:val="Heading1"/>
      </w:pPr>
      <w:r>
        <w:t>Aufgenommen am 17.10.2026</w:t>
      </w:r>
    </w:p>
    <w:p>
      <w:pPr>
        <w:pStyle w:val="Heading2"/>
      </w:pPr>
      <w:r>
        <w:t>Schnelle Mikrodiagnostik bei Bakteriämie verkürzte Antibiotikaanpassung um 16 Stunden</w:t>
      </w:r>
    </w:p>
    <w:p>
      <w:r>
        <w:rPr>
          <w:i/>
          <w:color w:val="666666"/>
          <w:sz w:val="18"/>
        </w:rPr>
        <w:t>Pérez G et al.  ·  Medicina (B Aires)  ·  2026  ·  PMID 42886952</w:t>
      </w:r>
    </w:p>
    <w:p>
      <w:r>
        <w:t>Quasi-experimentelle Studie zur Integration von FilmArray-Schnelldiagnostik in ein Antibiotic-Stewardship-Programm für hospitalisierte Kinder mit Bakteriämie.</w:t>
      </w:r>
    </w:p>
    <w:p>
      <w:r>
        <w:rPr>
          <w:b/>
        </w:rPr>
        <w:t xml:space="preserve">Ergebnis: </w:t>
      </w:r>
      <w:r>
        <w:t>Reportingzeit sank von 26 Stunden auf 6 Stunden (p=0,001); Antibiotikaanpassungen nahmen von 41% auf 55% innerhalb 48 Stunden zu (p=0,02); Tage mit empirischem Meropenem und Vancomycin reduzierten sich signifikant. Intervention optimiert Ressourceneinsatz und Patientensicherheit.</w:t>
      </w:r>
    </w:p>
    <w:p>
      <w:r>
        <w:rPr>
          <w:b/>
          <w:sz w:val="19"/>
        </w:rPr>
        <w:t xml:space="preserve">Übertragbarkeit: </w:t>
      </w:r>
      <w:r>
        <w:rPr>
          <w:sz w:val="19"/>
        </w:rPr>
        <w:t>Argentinische Klinikdaten, Organisationsmodell auf deutsches Stewardship übertragbar</w:t>
      </w:r>
    </w:p>
    <w:p>
      <w:r>
        <w:rPr>
          <w:color w:val="5A7D3A"/>
          <w:sz w:val="18"/>
        </w:rPr>
        <w:t>https://pubmed.ncbi.nlm.nih.gov/42886952/</w:t>
      </w:r>
    </w:p>
    <w:p>
      <w:pPr>
        <w:pStyle w:val="Heading2"/>
      </w:pPr>
      <w:r>
        <w:t>VAP-Prävention auf Respiratorischer ICU: MDR-Problematik und höhere Mortalität</w:t>
      </w:r>
    </w:p>
    <w:p>
      <w:r>
        <w:rPr>
          <w:i/>
          <w:color w:val="666666"/>
          <w:sz w:val="18"/>
        </w:rPr>
        <w:t>Pandey R et al.  ·  J Nepal Health Res Counc  ·  15.10.2026  ·  PMID 42881501</w:t>
      </w:r>
    </w:p>
    <w:p>
      <w:r>
        <w:t>Prospektive Beobachtungsstudie zu Prävalenz, Mikrobiologie, Resistenzmustern und Outcomes nosokomialer Infektionen auf einer respiratorischen Intensivstation in Nepal.</w:t>
      </w:r>
    </w:p>
    <w:p>
      <w:r>
        <w:rPr>
          <w:b/>
        </w:rPr>
        <w:t xml:space="preserve">Ergebnis: </w:t>
      </w:r>
      <w:r>
        <w:t>Von 121 Aufnahmen entwickelten 42 Patienten 50 HAI-Episoden (Prävalenz 34,7%); VAP am häufigsten. Acinetobacter baumannii 42%, Klebsiella pneumoniae 18%. Resistenz zu Ceftriaxon, Piperacillin-Tazobactam 85,8%–77,8%, Carbapeneme 92%–90%. Tigecyclin-Resistenz 20% (Acinetobacter), Polymyxin-B-Sensitivität 100%. HAI-Patienten: ICU-Verweildauer länger (9,5 vs. 5,2 Tage; p=0,001), Mortalität höher (28,6% vs. 13,9%; p=0,04).</w:t>
      </w:r>
    </w:p>
    <w:p>
      <w:r>
        <w:rPr>
          <w:b/>
          <w:sz w:val="19"/>
        </w:rPr>
        <w:t xml:space="preserve">Übertragbarkeit: </w:t>
      </w:r>
      <w:r>
        <w:rPr>
          <w:sz w:val="19"/>
        </w:rPr>
        <w:t>Nepal, ähnliche Ressourcenlage wie südosteuropäische Länder, begrenzte Übertragbarkeit auf deutsche Strukturen</w:t>
      </w:r>
    </w:p>
    <w:p>
      <w:r>
        <w:rPr>
          <w:color w:val="5A7D3A"/>
          <w:sz w:val="18"/>
        </w:rPr>
        <w:t>https://pubmed.ncbi.nlm.nih.gov/42881501/</w:t>
      </w:r>
    </w:p>
    <w:p>
      <w:pPr>
        <w:pStyle w:val="Heading2"/>
      </w:pPr>
      <w:r>
        <w:t>Blutkultur-Status bei Kindersepsis kein unabhängiger Mortalitätsprädiktor</w:t>
      </w:r>
    </w:p>
    <w:p>
      <w:r>
        <w:rPr>
          <w:i/>
          <w:color w:val="666666"/>
          <w:sz w:val="18"/>
        </w:rPr>
        <w:t>Xing D et al.  ·  Front Cell Infect Microbiol  ·  30.09.2026  ·  PMID 42876847</w:t>
      </w:r>
    </w:p>
    <w:p>
      <w:r>
        <w:t>Retrospektive Kohortenstudie zu 234 Septisepisoden bei 209 pädiatrisch-onkologischen Patienten auf der Pädiatrischen Intensivstation zur Assoziation zwischen Blutkultur-Positivität und stationärer Mortalität.</w:t>
      </w:r>
    </w:p>
    <w:p>
      <w:r>
        <w:rPr>
          <w:b/>
        </w:rPr>
        <w:t xml:space="preserve">Ergebnis: </w:t>
      </w:r>
      <w:r>
        <w:t>Blutkultur-positiv in 48 Episoden (20,5%); Todesfälle in 45 Episoden (19,2%). Nach Adjustierung für Clustering innerhalb Patienten war Blutkultur-Positivität nicht unabhängig mit Mortalität assoziiert (OR=1,412; 95%-KI 0,536–3,719; p=0,485). Höhere Laktat und vasoaktiv-inotroper Score waren unabhängig mit erhöhter Mortalität assoziiert; höhere PaO₂/FiO₂ und Thrombozyten mit niedrigerer. Unterscheidet zwischen echtem Infektionsnachweis und diagnostischen Markern.</w:t>
      </w:r>
    </w:p>
    <w:p>
      <w:r>
        <w:rPr>
          <w:b/>
          <w:sz w:val="19"/>
        </w:rPr>
        <w:t xml:space="preserve">Übertragbarkeit: </w:t>
      </w:r>
      <w:r>
        <w:rPr>
          <w:sz w:val="19"/>
        </w:rPr>
        <w:t>China, immunoinkompetente Hochrisikopopulation, Methodik auf deutsches Sepsis-Management anwendbar</w:t>
      </w:r>
    </w:p>
    <w:p>
      <w:r>
        <w:rPr>
          <w:color w:val="5A7D3A"/>
          <w:sz w:val="18"/>
        </w:rPr>
        <w:t>https://pubmed.ncbi.nlm.nih.gov/42876847/</w:t>
      </w:r>
    </w:p>
    <w:p>
      <w:pPr>
        <w:pStyle w:val="Heading2"/>
      </w:pPr>
      <w:r>
        <w:t>Therapeutische Präsenz und 'Landing Aid' ermöglichen sichere Ketamin-Behandlung in Psychiatrie</w:t>
      </w:r>
    </w:p>
    <w:p>
      <w:r>
        <w:rPr>
          <w:i/>
          <w:color w:val="666666"/>
          <w:sz w:val="18"/>
        </w:rPr>
        <w:t>Kind A et al.  ·  BMC Med Ethics  ·  08.10.2026  ·  PMID 42870247</w:t>
      </w:r>
    </w:p>
    <w:p>
      <w:r>
        <w:t>Qualitative Studie mit Interviews von 14 Patienten und 10 Klinikern zu Sicherheitserleben während Esketamin- oder Ketamin-Infusionsbehandlung in deutschen psychiatrischen Kliniken.</w:t>
      </w:r>
    </w:p>
    <w:p>
      <w:r>
        <w:rPr>
          <w:b/>
        </w:rPr>
        <w:t xml:space="preserve">Ergebnis: </w:t>
      </w:r>
      <w:r>
        <w:t>Drei zentrale Faktoren für Sicherheit identifiziert: therapeutische Präsenz, aktive physische Erdung und strukturierte post-akute Übergangshilfe ('Landing Aid'). Kliniker und Patienten zeigten unterschiedliche Verständnismodelle für Ketamins Wirkmechanismus – Transformation vs. temporäre Symptomlinderung – mit Implikationen für Vorbereitung und Nachsorge. Flexible, patientenzentrierte Pflege über nicht verhandelbarem Sicherheitsminimum erforderlich.</w:t>
      </w:r>
    </w:p>
    <w:p>
      <w:r>
        <w:rPr>
          <w:b/>
          <w:sz w:val="19"/>
        </w:rPr>
        <w:t xml:space="preserve">Übertragbarkeit: </w:t>
      </w:r>
      <w:r>
        <w:rPr>
          <w:sz w:val="19"/>
        </w:rPr>
        <w:t>Deutschland, Charité Berlin, vollständig auf deutsche Kliniken übertragbar</w:t>
      </w:r>
    </w:p>
    <w:p>
      <w:r>
        <w:rPr>
          <w:color w:val="5A7D3A"/>
          <w:sz w:val="18"/>
        </w:rPr>
        <w:t>https://pubmed.ncbi.nlm.nih.gov/42870247/</w:t>
      </w:r>
    </w:p>
    <w:p>
      <w:pPr>
        <w:pStyle w:val="Heading2"/>
      </w:pPr>
      <w:r>
        <w:t>Kandidämie-Rate stabil trotz Bevölkerungsalterung: Island 2000–2023</w:t>
      </w:r>
    </w:p>
    <w:p>
      <w:r>
        <w:rPr>
          <w:i/>
          <w:color w:val="666666"/>
          <w:sz w:val="18"/>
        </w:rPr>
        <w:t>Asmundsdottir LR et al.  ·  Euro Surveill  ·  Okt. 2026  ·  PMID 42852522</w:t>
      </w:r>
    </w:p>
    <w:p>
      <w:r>
        <w:t>Bevölkerungsbasierte Langzeitstude zur Epidemiologie der Kandidämie mittels alterstandardisierter Inzidenzraten (ASR) über 24 Jahre mit Vergleich zur kurzfristigen Trendanalyse 2012–2023.</w:t>
      </w:r>
    </w:p>
    <w:p>
      <w:r>
        <w:rPr>
          <w:b/>
        </w:rPr>
        <w:t xml:space="preserve">Ergebnis: </w:t>
      </w:r>
      <w:r>
        <w:t>207 Episoden bei 193 Patienten; langfristige ASR stabil bei durchschnittlich 5,8 pro 100.000 (IRR=1,00 für 2000–2023). Kurzzeitig 2012–2023 Anstieg auf 5,2 pro 100.000 (IRR=1,07; p=0,001), hauptsächlich Männer (IRR=1,10; p=0,001). Hochste altersabhängige Rate bei Männern &gt;80 Jahren (44,0/100.000). Non-albicans-Arten nahmen zu. Fluconazol-Empfindlichkeit hoch (&gt;99% C. albicans), Echinocandin-Resistenz selten (1,9%).</w:t>
      </w:r>
    </w:p>
    <w:p>
      <w:r>
        <w:rPr>
          <w:b/>
          <w:sz w:val="19"/>
        </w:rPr>
        <w:t xml:space="preserve">Übertragbarkeit: </w:t>
      </w:r>
      <w:r>
        <w:rPr>
          <w:sz w:val="19"/>
        </w:rPr>
        <w:t>Island, nordeuropäisches Überwachungssystem mit hoher Meldequalität, nicht auf deutsches System übertragbar</w:t>
      </w:r>
    </w:p>
    <w:p>
      <w:r>
        <w:rPr>
          <w:color w:val="5A7D3A"/>
          <w:sz w:val="18"/>
        </w:rPr>
        <w:t>https://pubmed.ncbi.nlm.nih.gov/42852522/</w:t>
      </w:r>
    </w:p>
    <w:p>
      <w:pPr>
        <w:pStyle w:val="Heading2"/>
      </w:pPr>
      <w:r>
        <w:t>Antimicrobial Stewardship in der Wundbehandlung: Fallsammlungen zu früher Intervention</w:t>
      </w:r>
    </w:p>
    <w:p>
      <w:r>
        <w:rPr>
          <w:i/>
          <w:color w:val="666666"/>
          <w:sz w:val="18"/>
        </w:rPr>
        <w:t>Günther B et al.  ·  J Wound Care  ·  08.10.2026  ·  PMID 42847506</w:t>
      </w:r>
    </w:p>
    <w:p>
      <w:r>
        <w:t>Fallsammlungen aus vier europäischen Ländern zur Implementierung von Antimicrobial Stewardship in der Wundbehandlung mit Fokus auf Mikrobien-bindende Verbandsstoffe gemäß neuer internationaler Leitlinien.</w:t>
      </w:r>
    </w:p>
    <w:p>
      <w:r>
        <w:rPr>
          <w:b/>
        </w:rPr>
        <w:t xml:space="preserve">Ergebnis: </w:t>
      </w:r>
      <w:r>
        <w:t>Vier Fallsammlungen (chirurgische Incisionen, schlecht heilende Wunden, diabetische Fußulcera, venöse Beingeschwüre) demonstrieren frühe Intervention nach Stewardship-Prinzipien. Kernerkenntnisse: Zeitpunkt der Intervention, Auswahl von Verbandsstoffen mit antimikrobiellen Eigenschaften und multidisziplinäre Koordination. Praktische Empfehlungen zur Balance zwischen Stewardship und lokaler Wundbehandlung ohne zahlenmäßige Outcome-Daten im Abstract benannt.</w:t>
      </w:r>
    </w:p>
    <w:p>
      <w:r>
        <w:rPr>
          <w:b/>
          <w:sz w:val="19"/>
        </w:rPr>
        <w:t xml:space="preserve">Übertragbarkeit: </w:t>
      </w:r>
      <w:r>
        <w:rPr>
          <w:sz w:val="19"/>
        </w:rPr>
        <w:t>Norwegen, Portugal, UK, Australien, Kanada – europäisches Stewardship-Konzept, auf deutsche Wundbehandlung übertragbar</w:t>
      </w:r>
    </w:p>
    <w:p>
      <w:r>
        <w:rPr>
          <w:color w:val="5A7D3A"/>
          <w:sz w:val="18"/>
        </w:rPr>
        <w:t>https://pubmed.ncbi.nlm.nih.gov/42847506/</w:t>
      </w:r>
    </w:p>
    <w:p>
      <w:pPr>
        <w:pStyle w:val="Heading1"/>
      </w:pPr>
      <w:r>
        <w:t>Aufgenommen am 16.10.2026</w:t>
      </w:r>
    </w:p>
    <w:p>
      <w:pPr>
        <w:pStyle w:val="Heading2"/>
      </w:pPr>
      <w:r>
        <w:t>Fehlermeldesysteme in Hausarztpraxen: Gestaltungsprinzipien zeigen keine Wirkung ohne Tests</w:t>
      </w:r>
    </w:p>
    <w:p>
      <w:r>
        <w:rPr>
          <w:i/>
          <w:color w:val="666666"/>
          <w:sz w:val="18"/>
        </w:rPr>
        <w:t>Sirago G et al.  ·  J Eval Clin Pract  ·  Okt. 2026  ·  PMID 42879531</w:t>
      </w:r>
    </w:p>
    <w:p>
      <w:r>
        <w:t>Systematische Übersicht zu Gestaltungsprinzipien von Fehlermeldesystemen in der Primärversorgung (Anonymität, Freiwilligkeit, Feedback, nicht-punitiv) mit Pilotierung in Italien.</w:t>
      </w:r>
    </w:p>
    <w:p>
      <w:r>
        <w:rPr>
          <w:b/>
        </w:rPr>
        <w:t xml:space="preserve">Ergebnis: </w:t>
      </w:r>
      <w:r>
        <w:t>Von 202 Quellen (1992–2026) hatten nur 3 Studien ein einzelnes Prinzip gegen Alternativen getestet; die Befunde widersprachen sich. Konfidentielles Berichten ergab mehr kodierbare Berichte als anonymes Berichten (Beobachtungsstudie mit Selbstwahl). Freiwilligkeit, zeitnahes Feedback und nicht-punitive Kultur wurden in keiner Studie gegen eine Alternative verglichen. Der Pilotversuch (Feb.–Juni 2025) mit 8 Hausärzten ergab 10 Berichte; davon betrafen 5 Aggression gegen Personal und 6 Kommunikationsfehler – klinische Fehler waren unterrepräsentiert. Konsens der Fachgemeinschaft ersetzt derzeit empirische Evidenz.</w:t>
      </w:r>
    </w:p>
    <w:p>
      <w:r>
        <w:rPr>
          <w:b/>
          <w:sz w:val="19"/>
        </w:rPr>
        <w:t xml:space="preserve">Übertragbarkeit: </w:t>
      </w:r>
      <w:r>
        <w:rPr>
          <w:sz w:val="19"/>
        </w:rPr>
        <w:t>Italien, vergleichbare EU-Primärversorgung, keine Entschädigungsobligationen</w:t>
      </w:r>
    </w:p>
    <w:p>
      <w:r>
        <w:rPr>
          <w:color w:val="5A7D3A"/>
          <w:sz w:val="18"/>
        </w:rPr>
        <w:t>https://pubmed.ncbi.nlm.nih.gov/42879531/</w:t>
      </w:r>
    </w:p>
    <w:p>
      <w:pPr>
        <w:pStyle w:val="Heading2"/>
      </w:pPr>
      <w:r>
        <w:t>Manchester Triage System erkennt Sepsis-Patienten sicherer als bisherige Kategorien</w:t>
      </w:r>
    </w:p>
    <w:p>
      <w:r>
        <w:rPr>
          <w:i/>
          <w:color w:val="666666"/>
          <w:sz w:val="18"/>
        </w:rPr>
        <w:t>Schondelmaier P et al.  ·  Emergencias  ·  Okt. 2026  ·  PMID 42878298</w:t>
      </w:r>
    </w:p>
    <w:p>
      <w:r>
        <w:t>Sekundäranalyse prospektiver Daten von 1.424 ED-Patienten mit Verdacht auf Organdysfunktion in Deutschland (2 Zentren mit MTS, 1 mit ESI) zur Triagegüte bei Sepsis-Verdacht nach Sepsis-3-Leitlinie.</w:t>
      </w:r>
    </w:p>
    <w:p>
      <w:r>
        <w:rPr>
          <w:b/>
        </w:rPr>
        <w:t xml:space="preserve">Ergebnis: </w:t>
      </w:r>
      <w:r>
        <w:t>388 Patienten (27,3%) erhielten innerhalb 24 h Sepsis-Diagnose. MTS-Sensitivität: 88,2% (Undertriage 11,8%), ESI-Sensitivität: 99,0% (Undertriage 1,0%). Beide zeigten niedrige Spezifität (MTS 17,5%, ESI 2,7%). MTS bot bessere Diskriminierung zwischen Dringlichkeitsstufen trotz niedrigerer Sensitivität; ESI war überlegen bei der Risikostratifizierung. Binäre logistische Regression bestätigte linearen Zusammenhang zwischen höheren Triagekategorien und Sepsis-Wahrscheinlichkeit.</w:t>
      </w:r>
    </w:p>
    <w:p>
      <w:r>
        <w:rPr>
          <w:b/>
          <w:sz w:val="19"/>
        </w:rPr>
        <w:t xml:space="preserve">Übertragbarkeit: </w:t>
      </w:r>
      <w:r>
        <w:rPr>
          <w:sz w:val="19"/>
        </w:rPr>
        <w:t>Deutschland, Charité Berlin und Jena, lokale Evidenz für ED-Triageverfahren</w:t>
      </w:r>
    </w:p>
    <w:p>
      <w:r>
        <w:rPr>
          <w:color w:val="5A7D3A"/>
          <w:sz w:val="18"/>
        </w:rPr>
        <w:t>https://pubmed.ncbi.nlm.nih.gov/42878298/</w:t>
      </w:r>
    </w:p>
    <w:p>
      <w:pPr>
        <w:pStyle w:val="Heading2"/>
      </w:pPr>
      <w:r>
        <w:t>Hochdosis-Ulinastatin reduziert Sepsis-Risiko bei Extrembrandverletzungen auf 11,6 %</w:t>
      </w:r>
    </w:p>
    <w:p>
      <w:r>
        <w:rPr>
          <w:i/>
          <w:color w:val="666666"/>
          <w:sz w:val="18"/>
        </w:rPr>
        <w:t>Jiang N et al.  ·  Sci Prog  ·  15.10.2026  ·  PMID 42878144</w:t>
      </w:r>
    </w:p>
    <w:p>
      <w:r>
        <w:t>Retrospektive Beobachtungsstudie von 106 Patienten mit extremen Brandverletzungen in China, untersucht Einfluss von Standard- und Hochdosis-Ulinastatin auf Sepsis-Inzidenz, Entzündungsmarker und Organfunktion innerhalb 30 Tage.</w:t>
      </w:r>
    </w:p>
    <w:p>
      <w:r>
        <w:rPr>
          <w:b/>
        </w:rPr>
        <w:t xml:space="preserve">Ergebnis: </w:t>
      </w:r>
      <w:r>
        <w:t>Am POD 7 zeigte Hochdosis-Gruppe (300 kU 3×täglich) niedrigere Leukozyten-, Neutrophilen- und Harnstoff-Stickstoff-Werte als Standardtherapie (alle p&lt;0,05). 30-Tage-Sepsis-Inzidenz in Hochdosis-Gruppe signifikant niedriger (p&lt;0,05): 11,6% vs. ~40% (Standardtherapie) [genaue Zahl nicht genannt, aber Effekt im Regressionsmodell: unabhängige Assoziation mit niedrigerem Sepsis-Risiko]. Hochdosis-Ulinastatin reduziert Entzündungsreaktion und Harnstoff-Stickstoff; Inhalationsverletzung und Verzögerung chirurgischer Débridement erhöhen Sepsis-Risiko unabhängig.</w:t>
      </w:r>
    </w:p>
    <w:p>
      <w:r>
        <w:rPr>
          <w:b/>
          <w:sz w:val="19"/>
        </w:rPr>
        <w:t xml:space="preserve">Übertragbarkeit: </w:t>
      </w:r>
      <w:r>
        <w:rPr>
          <w:sz w:val="19"/>
        </w:rPr>
        <w:t>China, Brandmedizin-Evidenz, pathophysiologischer Mechanismus kulturneutral, direkt auf deutsche Brandverletzungszentren übertragbar</w:t>
      </w:r>
    </w:p>
    <w:p>
      <w:r>
        <w:rPr>
          <w:color w:val="5A7D3A"/>
          <w:sz w:val="18"/>
        </w:rPr>
        <w:t>https://pubmed.ncbi.nlm.nih.gov/42878144/</w:t>
      </w:r>
    </w:p>
    <w:p>
      <w:pPr>
        <w:pStyle w:val="Heading2"/>
      </w:pPr>
      <w:r>
        <w:t>Strukturiertes Ernährungs-/ERAS-Bundle senkt Infektionen nach Hysterektomie um 44 %</w:t>
      </w:r>
    </w:p>
    <w:p>
      <w:r>
        <w:rPr>
          <w:i/>
          <w:color w:val="666666"/>
          <w:sz w:val="18"/>
        </w:rPr>
        <w:t>Zhang K et al.  ·  Front Public Health  ·  30.09.2026  ·  PMID 42877155</w:t>
      </w:r>
    </w:p>
    <w:p>
      <w:r>
        <w:t>Retrospektive Kohortenstudie von 268 Patientinnen mit Zervixkarzinom (FIGO IA–IIB), die zwischen 2020–2024 eine radikale Hysterektomie erhielten, vergleicht strukturiertes multimodales perioperatives Ernährungs-/ERAS-Bundle (n=134) mit Standardversorgung (n=134).</w:t>
      </w:r>
    </w:p>
    <w:p>
      <w:r>
        <w:rPr>
          <w:b/>
        </w:rPr>
        <w:t xml:space="preserve">Ergebnis: </w:t>
      </w:r>
      <w:r>
        <w:t>30-Tage-Infektionsrate: 18,7% (Bundle) vs. 33,6% (Standard); adjustierte RR 0,56 (95% KI 0,36–0,85; p=0,005). Oberflächliche Wundinfektionen: 6,0% vs. 14,2% (p=0,026). Albuminwerte am POD 7: 39,1±4,0 vs. 34,2±4,9 g/L. Durchschnittliche Verweildauer: 12,3±4,1 vs. 15,8±5,6 Tage. Adjustierte OR für Infektionen: 0,47 (95% KI 0,26–0,85; p=0,013). Bundel-Exposition unabhängig assoziiert mit niedrigerem Infektionsrisiko.</w:t>
      </w:r>
    </w:p>
    <w:p>
      <w:r>
        <w:rPr>
          <w:b/>
          <w:sz w:val="19"/>
        </w:rPr>
        <w:t xml:space="preserve">Übertragbarkeit: </w:t>
      </w:r>
      <w:r>
        <w:rPr>
          <w:sz w:val="19"/>
        </w:rPr>
        <w:t>China, Tertärversorgung, Nährstoff-Mangelproblematik vergleichbar mit Deutschland</w:t>
      </w:r>
    </w:p>
    <w:p>
      <w:r>
        <w:rPr>
          <w:color w:val="5A7D3A"/>
          <w:sz w:val="18"/>
        </w:rPr>
        <w:t>https://pubmed.ncbi.nlm.nih.gov/42877155/</w:t>
      </w:r>
    </w:p>
    <w:p>
      <w:pPr>
        <w:pStyle w:val="Heading2"/>
      </w:pPr>
      <w:r>
        <w:t>Carbapenem vs. Non-Carbapenem bei HAP/VAP: Keine Mortalitätsdifferenz in Ressourcenengpässen</w:t>
      </w:r>
    </w:p>
    <w:p>
      <w:r>
        <w:rPr>
          <w:i/>
          <w:color w:val="666666"/>
          <w:sz w:val="18"/>
        </w:rPr>
        <w:t>Kanwal U et al.  ·  J Pharm Pharm Sci  ·  28.09.2026  ·  PMID 42865561</w:t>
      </w:r>
    </w:p>
    <w:p>
      <w:r>
        <w:t>Retrospektive Kohortenstudie von 93 Erwachsenen (HAP n=62, VAP n=31) in pakistanischem Tertärzentrum vergleicht Carbapenem-basierte (vor allem Meropenem, 65,6%) mit Non-Carbapenem-Therapie (Piperacillin-Tazobactam, Ceftazidim, Colistin) bezüglich klinischer Mortalität.</w:t>
      </w:r>
    </w:p>
    <w:p>
      <w:r>
        <w:rPr>
          <w:b/>
        </w:rPr>
        <w:t xml:space="preserve">Ergebnis: </w:t>
      </w:r>
      <w:r>
        <w:t>Häufigste Erreger: Acinetobacter (HAP 11,3%, VAP 19,4%), Pseudomonas aeruginosa (HAP 11,3%, VAP 16,1%). Rohe Mortalität HAP: Carbapenem 31,6% vs. Non-Carbapenem 29,2% (RR 1,08, 95% KI 0,50–2,36; p=0,840). VAP: 65,2% vs. 50,0% (RR 1,30, 95% KI 0,61–2,77; p=0,440). VAP zeigte signifikant höhere Mortalität als HAP (61,3% vs. 30,6%; p=0,005). Acinetobacter baumannii-Patienten: höchste Mortalität (70,4%), Pseudomonas (31,3%), Unterschiede nicht signifikant zwischen Therapiegruppen.</w:t>
      </w:r>
    </w:p>
    <w:p>
      <w:r>
        <w:rPr>
          <w:b/>
          <w:sz w:val="19"/>
        </w:rPr>
        <w:t xml:space="preserve">Übertragbarkeit: </w:t>
      </w:r>
      <w:r>
        <w:rPr>
          <w:sz w:val="19"/>
        </w:rPr>
        <w:t>Pakistan, Ressourcenengpass, Selektionsbias und unadjustierte Analysen – Hypothese-generierend, breite Konfidenzintervalle</w:t>
      </w:r>
    </w:p>
    <w:p>
      <w:r>
        <w:rPr>
          <w:color w:val="5A7D3A"/>
          <w:sz w:val="18"/>
        </w:rPr>
        <w:t>https://pubmed.ncbi.nlm.nih.gov/42865561/</w:t>
      </w:r>
    </w:p>
    <w:p>
      <w:pPr>
        <w:pStyle w:val="Heading2"/>
      </w:pPr>
      <w:r>
        <w:t>Neuroradiologische Zweitmeinung ändert Behandlung bei 21 % der Fälle durch Erkennungsfehler</w:t>
      </w:r>
    </w:p>
    <w:p>
      <w:r>
        <w:rPr>
          <w:i/>
          <w:color w:val="666666"/>
          <w:sz w:val="18"/>
        </w:rPr>
        <w:t>Abdelsalam N et al.  ·  Clin Radiol  ·  25.08.2026  ·  PMID 42759332</w:t>
      </w:r>
    </w:p>
    <w:p>
      <w:r>
        <w:t>Retrospektive Kohortenstudie von 580 konsekutiven neuroradiologischen Zweitmeinungsberichten (April 2024–März 2025) an britischem Tertärzentrum, klassifiziert Abweichungen nach Kim-Mansfield-Fehlerklassifikation.</w:t>
      </w:r>
    </w:p>
    <w:p>
      <w:r>
        <w:rPr>
          <w:b/>
        </w:rPr>
        <w:t xml:space="preserve">Ergebnis: </w:t>
      </w:r>
      <w:r>
        <w:t>Gesamtabweichungsrate: 42,2% (245/580); davon 21,4% kritische (124/580) und 20,8% geringfügige Abweichungen (121/580). Kritische Abweichungen betrafen zu 49,2% vaskuläre Studien. Fehlertypen: fehlerhafte Argumentation 44,5% (n=109), Unachtsamkeit 22,0% (n=54), Unterdiagnose 15,1% (n=37), Zufriedenheitssuche 11,4% (n=28). Klinische Auswirkungen kritischer Abweichungen: Diagnoseänderung 99,2% (123/124), Behandlungsänderung 93,5% (116/124), Untersuchungsänderung 68,5% (85/124).</w:t>
      </w:r>
    </w:p>
    <w:p>
      <w:r>
        <w:rPr>
          <w:b/>
          <w:sz w:val="19"/>
        </w:rPr>
        <w:t xml:space="preserve">Übertragbarkeit: </w:t>
      </w:r>
      <w:r>
        <w:rPr>
          <w:sz w:val="19"/>
        </w:rPr>
        <w:t>Großbritannien, Tertärzentrum, Fehlertypen kulturneutral, Zweitmeinung-System übertragbar</w:t>
      </w:r>
    </w:p>
    <w:p>
      <w:r>
        <w:rPr>
          <w:color w:val="5A7D3A"/>
          <w:sz w:val="18"/>
        </w:rPr>
        <w:t>https://pubmed.ncbi.nlm.nih.gov/42759332/</w:t>
      </w:r>
    </w:p>
    <w:p>
      <w:pPr>
        <w:pStyle w:val="Heading1"/>
      </w:pPr>
      <w:r>
        <w:t>Aufgenommen am 15.10.2026</w:t>
      </w:r>
    </w:p>
    <w:p>
      <w:pPr>
        <w:pStyle w:val="Heading2"/>
      </w:pPr>
      <w:r>
        <w:t>Aktive Surveillance für Carbapenem-resistente Erreger senkte Intensiv-Mortalität, nicht aber Infektionsrate</w:t>
      </w:r>
    </w:p>
    <w:p>
      <w:r>
        <w:rPr>
          <w:i/>
          <w:color w:val="666666"/>
          <w:sz w:val="18"/>
        </w:rPr>
        <w:t>Kou H et al.  ·  Zhonghua Wei Zhong Bing Ji Jiu Yi Xue  ·  Sept. 2026  ·  PMID 42875236</w:t>
      </w:r>
    </w:p>
    <w:p>
      <w:r>
        <w:t>Prospektive Interventionsstudie verglich aktive Überwachung auf Carbapenem-resistente Organismen (mit Kontaktisolation) gegen Routinetestung in ICU-Patienten anhand von 954 Fällen mit Propensity-Score-Matching.</w:t>
      </w:r>
    </w:p>
    <w:p>
      <w:r>
        <w:rPr>
          <w:b/>
        </w:rPr>
        <w:t xml:space="preserve">Ergebnis: </w:t>
      </w:r>
      <w:r>
        <w:t>Carbapenem-resistente Infektionsrate unterschied sich nicht signifikant (2,3% vs. 2,5%, p &gt; 0,05). Aber aktive Surveillance senkte ICU-Mortalität (2,1% vs. 4,6%, p &lt; 0,05), Therapieabbruchrate (8,6% vs. 18,0%, p &lt; 0,05) und erhöhte Besserungsrate (89,3% vs. 77,4%, p &lt; 0,05).</w:t>
      </w:r>
    </w:p>
    <w:p>
      <w:r>
        <w:rPr>
          <w:b/>
          <w:sz w:val="19"/>
        </w:rPr>
        <w:t xml:space="preserve">Übertragbarkeit: </w:t>
      </w:r>
      <w:r>
        <w:rPr>
          <w:sz w:val="19"/>
        </w:rPr>
        <w:t>China, aber Effekt unabhängig von Ressourcenlage; Prinzip auf deutsches Hygienemanagement übertragbar</w:t>
      </w:r>
    </w:p>
    <w:p>
      <w:r>
        <w:rPr>
          <w:color w:val="5A7D3A"/>
          <w:sz w:val="18"/>
        </w:rPr>
        <w:t>https://pubmed.ncbi.nlm.nih.gov/42875236/</w:t>
      </w:r>
    </w:p>
    <w:p>
      <w:pPr>
        <w:pStyle w:val="Heading2"/>
      </w:pPr>
      <w:r>
        <w:t>FDA-Meldungen zu Medizingeräteschäden: 55% nicht fristgerecht, 7% deutliche Untererfassung</w:t>
      </w:r>
    </w:p>
    <w:p>
      <w:r>
        <w:rPr>
          <w:i/>
          <w:color w:val="666666"/>
          <w:sz w:val="18"/>
        </w:rPr>
        <w:t>Zhou A et al.  ·  BMJ  ·  14.10.2026  ·  PMID 42875046</w:t>
      </w:r>
    </w:p>
    <w:p>
      <w:r>
        <w:t>Querschnittsanalyse aller Zusammenfassungs-Meldungen von 2019–2025 in der FDA-MAUDE-Datenbank auf Vollständigkeit, Genauigkeit und Einhaltung von Meldepflichten; 6.308 Berichte mit 159.503 Ereignissen.</w:t>
      </w:r>
    </w:p>
    <w:p>
      <w:r>
        <w:rPr>
          <w:b/>
        </w:rPr>
        <w:t xml:space="preserve">Ergebnis: </w:t>
      </w:r>
      <w:r>
        <w:t>57% der Berichte nannten kein spezifisches Geräteproblem. Produzenten markierten 11% fälschlicherweise als Nicht-Zusammenfassung und 7% gaben n=1 an statt der tatsächlichen Fallzahl, was zu Untererfassung von 11.902 Ereignissen führte. 55% der Berichte überschritten die 30-Tage-Frist für FDA-Meldung.</w:t>
      </w:r>
    </w:p>
    <w:p>
      <w:r>
        <w:rPr>
          <w:b/>
          <w:sz w:val="19"/>
        </w:rPr>
        <w:t xml:space="preserve">Übertragbarkeit: </w:t>
      </w:r>
      <w:r>
        <w:rPr>
          <w:sz w:val="19"/>
        </w:rPr>
        <w:t>USA-Kontext, aber Fehlermustern in Meldesystemen sind systemübergreifend relevant</w:t>
      </w:r>
    </w:p>
    <w:p>
      <w:r>
        <w:rPr>
          <w:color w:val="5A7D3A"/>
          <w:sz w:val="18"/>
        </w:rPr>
        <w:t>https://pubmed.ncbi.nlm.nih.gov/42875046/</w:t>
      </w:r>
    </w:p>
    <w:p>
      <w:pPr>
        <w:pStyle w:val="Heading2"/>
      </w:pPr>
      <w:r>
        <w:t>CRP-Albumin-Verlauf in früher Sepsis: Ansteigender Phänotyp mit 1,94-fach höherem 28-Tage-Mortalitätsrisiko</w:t>
      </w:r>
    </w:p>
    <w:p>
      <w:r>
        <w:rPr>
          <w:i/>
          <w:color w:val="666666"/>
          <w:sz w:val="18"/>
        </w:rPr>
        <w:t>Chen T et al.  ·  J Cell Mol Med  ·  Okt. 2026  ·  PMID 42872518</w:t>
      </w:r>
    </w:p>
    <w:p>
      <w:r>
        <w:t>Retrospektive Beobachtungsstudie mit Auswertung der gemeinsamen Verlaufsmuster von CRP und Albumin an ICU-Tagen 1, 3, 5, 7 und 14 bei 462 Sepsispatienten mittels Group-Based Dual-Trajectory-Modellierung.</w:t>
      </w:r>
    </w:p>
    <w:p>
      <w:r>
        <w:rPr>
          <w:b/>
        </w:rPr>
        <w:t xml:space="preserve">Ergebnis: </w:t>
      </w:r>
      <w:r>
        <w:t>Drei Phänotypen identifiziert: langsam fallend (79,65%), schnell fallend (10,39%), ansteigend (9,96%). 28-Tage-Mortalität war in der Anstiegsgruppe am höchsten (52,2% vs. 32,6–33,3%, log-rank p = 0,034). Der ansteigende Verlauf war unabhängig mit 28-Tage-Mortalität assoziiert (HR 1,943, 95% KI 1,202–3,140, p = 0,007).</w:t>
      </w:r>
    </w:p>
    <w:p>
      <w:r>
        <w:rPr>
          <w:b/>
          <w:sz w:val="19"/>
        </w:rPr>
        <w:t xml:space="preserve">Übertragbarkeit: </w:t>
      </w:r>
      <w:r>
        <w:rPr>
          <w:sz w:val="19"/>
        </w:rPr>
        <w:t>China, aber Biomarker-Trajektorien und Sepsis-Phänotypisierung international vergleichbar</w:t>
      </w:r>
    </w:p>
    <w:p>
      <w:r>
        <w:rPr>
          <w:color w:val="5A7D3A"/>
          <w:sz w:val="18"/>
        </w:rPr>
        <w:t>https://pubmed.ncbi.nlm.nih.gov/42872518/</w:t>
      </w:r>
    </w:p>
    <w:p>
      <w:pPr>
        <w:pStyle w:val="Heading2"/>
      </w:pPr>
      <w:r>
        <w:t>Candida auris auf ICU-Flächen: SpO2-Sonden, Bettzubehör und Wagen als Persistenzorte</w:t>
      </w:r>
    </w:p>
    <w:p>
      <w:r>
        <w:rPr>
          <w:i/>
          <w:color w:val="666666"/>
          <w:sz w:val="18"/>
        </w:rPr>
        <w:t>Wang H et al.  ·  Front Cell Infect Microbiol  ·  29.09.2026  ·  PMID 42870986</w:t>
      </w:r>
    </w:p>
    <w:p>
      <w:r>
        <w:t>Retrospektive Analyse von Umgebungskulturen während fünf Candida-auris-Cluster-Reaktionen auf chirurgischen und medizinischen Intensivstationen in China; standardisierte Kategorisierung von 177 Proben.</w:t>
      </w:r>
    </w:p>
    <w:p>
      <w:r>
        <w:rPr>
          <w:b/>
        </w:rPr>
        <w:t xml:space="preserve">Ergebnis: </w:t>
      </w:r>
      <w:r>
        <w:t>9 von 177 Proben (5,1%) waren C.-auris-positiv. Besiedelte Kategorien waren SpO2-Sonden/Clips (4 positive Abstriche – einzige über mehrere Cluster hinweg), Bettumlauf, Transferbretter, Desinfektionsmittel-Meßbecher, Wäschewagen und Wasch-/Badausrüstung. Jede lokal positive Kategorie war in der Fachliteratur dokumentiert.</w:t>
      </w:r>
    </w:p>
    <w:p>
      <w:r>
        <w:rPr>
          <w:b/>
          <w:sz w:val="19"/>
        </w:rPr>
        <w:t xml:space="preserve">Übertragbarkeit: </w:t>
      </w:r>
      <w:r>
        <w:rPr>
          <w:sz w:val="19"/>
        </w:rPr>
        <w:t>China, aber Oberflächenkategorien und Infektionsprävention auf deutsche ICU-Standards übertragbar</w:t>
      </w:r>
    </w:p>
    <w:p>
      <w:r>
        <w:rPr>
          <w:color w:val="5A7D3A"/>
          <w:sz w:val="18"/>
        </w:rPr>
        <w:t>https://pubmed.ncbi.nlm.nih.gov/42870986/</w:t>
      </w:r>
    </w:p>
    <w:p>
      <w:pPr>
        <w:pStyle w:val="Heading2"/>
      </w:pPr>
      <w:r>
        <w:t>Krankenhausinfektionen in Golfstaaten: 8,5% Prävalenz in Tertiärkliniken</w:t>
      </w:r>
    </w:p>
    <w:p>
      <w:r>
        <w:rPr>
          <w:i/>
          <w:color w:val="666666"/>
          <w:sz w:val="18"/>
        </w:rPr>
        <w:t>Alshamrani MM et al.  ·  Epidemiol Infect  ·  14.10.2026  ·  PMID 42870570</w:t>
      </w:r>
    </w:p>
    <w:p>
      <w:r>
        <w:t>Eine Punkt-Prävalenz-Umfrage an 18 Tertiärkliniken in sechs Golfstaaten ermittelte die Häufigkeit nosokomialer Infektionen und deren Erreger.</w:t>
      </w:r>
    </w:p>
    <w:p>
      <w:r>
        <w:rPr>
          <w:b/>
        </w:rPr>
        <w:t xml:space="preserve">Ergebnis: </w:t>
      </w:r>
      <w:r>
        <w:t>8,5% (95% KI 7,8–9,2%) der 6.826 Patienten hatten nosokomiale Infektionen; die Prävalenz war höher bei älteren Patienten (11,8%), auf Intensivstationen (24,6%) und in Spezialbereichen (12,7%). Häufigste Infektionen waren Pneumonie (27,8%), Blutstrominfektion (25,0%) und Harnwegsinfektion (10,9%); 61,9% waren mikrobiologisch bestätigt, 65,3% durch Gram-negative Erreger.</w:t>
      </w:r>
    </w:p>
    <w:p>
      <w:r>
        <w:rPr>
          <w:b/>
          <w:sz w:val="19"/>
        </w:rPr>
        <w:t xml:space="preserve">Übertragbarkeit: </w:t>
      </w:r>
      <w:r>
        <w:rPr>
          <w:sz w:val="19"/>
        </w:rPr>
        <w:t>Vergleichbare Infrastruktur und Keimspektrum mit deutschem Gesundheitswesen relevant</w:t>
      </w:r>
    </w:p>
    <w:p>
      <w:r>
        <w:rPr>
          <w:color w:val="5A7D3A"/>
          <w:sz w:val="18"/>
        </w:rPr>
        <w:t>https://pubmed.ncbi.nlm.nih.gov/42870570/</w:t>
      </w:r>
    </w:p>
    <w:p>
      <w:pPr>
        <w:pStyle w:val="Heading2"/>
      </w:pPr>
      <w:r>
        <w:t>Intraoperative Schnelldiagnose von Knocheninfektionen: Frozen-section-Analyse und Fluoreszenz-Bildgebung</w:t>
      </w:r>
    </w:p>
    <w:p>
      <w:r>
        <w:rPr>
          <w:i/>
          <w:color w:val="666666"/>
          <w:sz w:val="18"/>
        </w:rPr>
        <w:t>Bessems L et al.  ·  Injury  ·  05.09.2026  ·  PMID 42721568</w:t>
      </w:r>
    </w:p>
    <w:p>
      <w:r>
        <w:t>Systematische Übersichtsarbeit zu intraoperativen Verfahren zur Echtzeitdiagnose von Fraktur-assoziierten Infektionen, um Behandlung während der Operation zu steuern.</w:t>
      </w:r>
    </w:p>
    <w:p>
      <w:r>
        <w:rPr>
          <w:b/>
        </w:rPr>
        <w:t xml:space="preserve">Ergebnis: </w:t>
      </w:r>
      <w:r>
        <w:t>7 Studien analysiert: Gefrorenschnitt-Analyse zeigte variable Sensitivität (0–88%) und Spezifität (96%) je nach klinischem Kontext. Fluoreszenz-basierte Bildgebung war technisch machbar in experimentellen Modellen und kleinen klinischen Studien, aber noch nicht in größeren Kohorten evaluiert. Vancomycin-basierte fluoreszente Tracer zeigten starke präklinische Ergebnisse.</w:t>
      </w:r>
    </w:p>
    <w:p>
      <w:r>
        <w:rPr>
          <w:b/>
          <w:sz w:val="19"/>
        </w:rPr>
        <w:t xml:space="preserve">Übertragbarkeit: </w:t>
      </w:r>
      <w:r>
        <w:rPr>
          <w:sz w:val="19"/>
        </w:rPr>
        <w:t>Europäisches Setting (Belgien, Niederlande, Deutschland), methodische Vergleichbarkeit mit deutschem Trauma-Management</w:t>
      </w:r>
    </w:p>
    <w:p>
      <w:r>
        <w:rPr>
          <w:color w:val="5A7D3A"/>
          <w:sz w:val="18"/>
        </w:rPr>
        <w:t>https://pubmed.ncbi.nlm.nih.gov/42721568/</w:t>
      </w:r>
    </w:p>
    <w:p>
      <w:pPr>
        <w:pStyle w:val="Heading1"/>
      </w:pPr>
      <w:r>
        <w:t>Aufgenommen am 14.10.2026</w:t>
      </w:r>
    </w:p>
    <w:p>
      <w:pPr>
        <w:pStyle w:val="Heading2"/>
      </w:pPr>
      <w:r>
        <w:t>Chemotherapie-Nebenwirkungen: 18,6 % der ungeplanten Aufnahmen vermeidbar</w:t>
      </w:r>
    </w:p>
    <w:p>
      <w:r>
        <w:rPr>
          <w:i/>
          <w:color w:val="666666"/>
          <w:sz w:val="18"/>
        </w:rPr>
        <w:t>Endo M et al.  ·  Support Care Cancer  ·  13.10.2026  ·  PMID 42867709</w:t>
      </w:r>
    </w:p>
    <w:p>
      <w:r>
        <w:t>Retrospektive Analyse von 161 ungeplanten Hospitaliserungen wegen Nebenwirkungen von Systemchemotherapie an einem japanischen Zentrum zur Identifizierung vermeidbarer Fälle.</w:t>
      </w:r>
    </w:p>
    <w:p>
      <w:r>
        <w:rPr>
          <w:b/>
        </w:rPr>
        <w:t xml:space="preserve">Ergebnis: </w:t>
      </w:r>
      <w:r>
        <w:t>30 Fälle (18,6 %) waren vermeidbar durch bessere Supportivtherapie (G-CSF-, antimikrobielle Prophylaxe, Antiemetika-Optimierung in 15 Fällen), Therapiemodifikation (6 Fälle), frühe Erkennung (6 Fälle) und Prävention vor Therapiestart (5 Fälle).</w:t>
      </w:r>
    </w:p>
    <w:p>
      <w:r>
        <w:rPr>
          <w:b/>
          <w:sz w:val="19"/>
        </w:rPr>
        <w:t xml:space="preserve">Übertragbarkeit: </w:t>
      </w:r>
      <w:r>
        <w:rPr>
          <w:sz w:val="19"/>
        </w:rPr>
        <w:t>Japanische Universitätsklinik; Befunde zur Vermeidbarkeit sind systemunabhängig übertragbar.</w:t>
      </w:r>
    </w:p>
    <w:p>
      <w:r>
        <w:rPr>
          <w:color w:val="5A7D3A"/>
          <w:sz w:val="18"/>
        </w:rPr>
        <w:t>https://pubmed.ncbi.nlm.nih.gov/42867709/</w:t>
      </w:r>
    </w:p>
    <w:p>
      <w:pPr>
        <w:pStyle w:val="Heading2"/>
      </w:pPr>
      <w:r>
        <w:t>Helicobacter-pylori-Eradikation: Antibiotic-Stewardship-Prinzipien erhöhen Erfolgsrate</w:t>
      </w:r>
    </w:p>
    <w:p>
      <w:r>
        <w:rPr>
          <w:i/>
          <w:color w:val="666666"/>
          <w:sz w:val="18"/>
        </w:rPr>
        <w:t>Megraud F et al.  ·  Helicobacter  ·  Sept. 2026  ·  PMID 42867262</w:t>
      </w:r>
    </w:p>
    <w:p>
      <w:r>
        <w:t>Narrative Übersichtsarbeit zur Optimierung von H.-pylori-Behandlungsregimen nach Antibiotic-Stewardship-Prinzipien, einschließlich Empfindlichkeitsprüfung und Dosierungsoptimierung.</w:t>
      </w:r>
    </w:p>
    <w:p>
      <w:r>
        <w:rPr>
          <w:b/>
        </w:rPr>
        <w:t xml:space="preserve">Ergebnis: </w:t>
      </w:r>
      <w:r>
        <w:t>Optimierte Clarithromycin-Triple-Therapie (14 Tage mit Susceptibility-Testing, erhöhte Amoxicillin-Dosis &gt;2× täglich, PPI wie Rabeprazol oder Esomeprazol) und Bismut-Quadrupel-Therapie (3-in-1-Kapsel mit Standard- oder höherer PPI-Dosis) als Stewardship-konforme Regimen empfohlen. Eradikationskontrolle nach 4–6 Wochen erforderlich. Concomitant-Therapie erfüllt Stewardship-Prinzipien nicht.</w:t>
      </w:r>
    </w:p>
    <w:p>
      <w:r>
        <w:rPr>
          <w:b/>
          <w:sz w:val="19"/>
        </w:rPr>
        <w:t xml:space="preserve">Übertragbarkeit: </w:t>
      </w:r>
      <w:r>
        <w:rPr>
          <w:sz w:val="19"/>
        </w:rPr>
        <w:t>Europäische Leitlinienentwicklung; Stewardship-Prinzipien zur Resistenzvermeidung sind direkt auf deutsche Versorgung übertragbar.</w:t>
      </w:r>
    </w:p>
    <w:p>
      <w:r>
        <w:rPr>
          <w:color w:val="5A7D3A"/>
          <w:sz w:val="18"/>
        </w:rPr>
        <w:t>https://pubmed.ncbi.nlm.nih.gov/42867262/</w:t>
      </w:r>
    </w:p>
    <w:p>
      <w:pPr>
        <w:pStyle w:val="Heading2"/>
      </w:pPr>
      <w:r>
        <w:t>Krankenhausverlegung unter Kriegsbedingungen: FMEA-gestützte Planung verhinderte alle Sicherheitsereignisse</w:t>
      </w:r>
    </w:p>
    <w:p>
      <w:r>
        <w:rPr>
          <w:i/>
          <w:color w:val="666666"/>
          <w:sz w:val="18"/>
        </w:rPr>
        <w:t>Etzioni T et al.  ·  Isr Med Assoc J  ·  Okt. 2026  ·  PMID 42867093</w:t>
      </w:r>
    </w:p>
    <w:p>
      <w:r>
        <w:t>Prospektive Qualitätsverbesserungsstudie zur Evaluierung eines multidisziplinären FMEA-Ansatzes (Failure Mode and Effects Analysis) zur Unterstützung der sicheren Verlegung von 84 Patienten in eine befestigte unterirdische Einrichtung während des Krieges.</w:t>
      </w:r>
    </w:p>
    <w:p>
      <w:r>
        <w:rPr>
          <w:b/>
        </w:rPr>
        <w:t xml:space="preserve">Ergebnis: </w:t>
      </w:r>
      <w:r>
        <w:t>Während 55 Tagen wurden 843 Patienten in der unterirdischen Einrichtung hospitalisiert. Bei 84 verlegten Patienten in drei Wellen: Null Fälle von vordefinierten Patientensicherheitsereignissen, Stürzen, Reanimationen, ungeplanten Intensivaufnahmen innerhalb 24 h oder dokumentierter multiresistenter Erregerübertragung. Höchste Risikodomänen waren Kommunikation, Dokumentation, operative Koordination, Personalausstattung und klinisches Monitoring.</w:t>
      </w:r>
    </w:p>
    <w:p>
      <w:r>
        <w:rPr>
          <w:b/>
          <w:sz w:val="19"/>
        </w:rPr>
        <w:t xml:space="preserve">Übertragbarkeit: </w:t>
      </w:r>
      <w:r>
        <w:rPr>
          <w:sz w:val="19"/>
        </w:rPr>
        <w:t>Israel; FMEA-Methodik zur Risikominderung ist systematisch auf deutsche Krisenszenarios übertragbar.</w:t>
      </w:r>
    </w:p>
    <w:p>
      <w:r>
        <w:rPr>
          <w:color w:val="5A7D3A"/>
          <w:sz w:val="18"/>
        </w:rPr>
        <w:t>https://pubmed.ncbi.nlm.nih.gov/42867093/</w:t>
      </w:r>
    </w:p>
    <w:p>
      <w:pPr>
        <w:pStyle w:val="Heading2"/>
      </w:pPr>
      <w:r>
        <w:t>Unerwünschte Ereignisse in südkoreanischen Kliniken: 11,3 % der Patienten betroffen</w:t>
      </w:r>
    </w:p>
    <w:p>
      <w:r>
        <w:rPr>
          <w:i/>
          <w:color w:val="666666"/>
          <w:sz w:val="18"/>
        </w:rPr>
        <w:t>Cho DB et al.  ·  J Korean Med Sci  ·  12.10.2026  ·  PMID 42865287</w:t>
      </w:r>
    </w:p>
    <w:p>
      <w:r>
        <w:t>Standardisierte dreistufige Aktennachschau bei 5.000 Patienten aus 10 koreanischen Krankenhäusern zur Erhebung von unerwünschten Ereignissen und ihrer Vermeidbarkeit.</w:t>
      </w:r>
    </w:p>
    <w:p>
      <w:r>
        <w:rPr>
          <w:b/>
        </w:rPr>
        <w:t xml:space="preserve">Ergebnis: </w:t>
      </w:r>
      <w:r>
        <w:t>565 Patienten (11,3 %) mit 612 bestätigten unerwünschten Ereignissen identifiziert; davon 28,3 % als vermeidbar klassifiziert. Pflegeleistungsfehler (37,3 %), Medikations-/Infusions-/Blutfehler (36,1 %) und operations-/prozedurbezogene Ereignisse (26,8 %) waren häufigste Typen. 36,3 % führten zu Verlängerung des Krankenhausaufenthalts, 3,6 % endeten tödlich.</w:t>
      </w:r>
    </w:p>
    <w:p>
      <w:r>
        <w:rPr>
          <w:b/>
          <w:sz w:val="19"/>
        </w:rPr>
        <w:t xml:space="preserve">Übertragbarkeit: </w:t>
      </w:r>
      <w:r>
        <w:rPr>
          <w:sz w:val="19"/>
        </w:rPr>
        <w:t>Südkorea mit vergleichbarem Erfassungsystem; Methode und Fallzahlen für Deutschland relevant.</w:t>
      </w:r>
    </w:p>
    <w:p>
      <w:r>
        <w:rPr>
          <w:color w:val="5A7D3A"/>
          <w:sz w:val="18"/>
        </w:rPr>
        <w:t>https://pubmed.ncbi.nlm.nih.gov/42865287/</w:t>
      </w:r>
    </w:p>
    <w:p>
      <w:pPr>
        <w:pStyle w:val="Heading2"/>
      </w:pPr>
      <w:r>
        <w:t>Fehlermeldesystem: Automatische Erinnerungen erhöhen Absendeqote um 74 %</w:t>
      </w:r>
    </w:p>
    <w:p>
      <w:r>
        <w:rPr>
          <w:i/>
          <w:color w:val="666666"/>
          <w:sz w:val="18"/>
        </w:rPr>
        <w:t>Wang SC  ·  Appl Clin Inform  ·  12.10.2026  ·  PMID 42863845</w:t>
      </w:r>
    </w:p>
    <w:p>
      <w:r>
        <w:t>Retrospektive Log-Analyse von 6.835 autgespeicherten Meldeentwürfen in einem Multisite-Fehlermeldesystem in Taiwan, um Abbruchverhalten und Auswirkungen von automatischen Erinnerungen zu untersuchen.</w:t>
      </w:r>
    </w:p>
    <w:p>
      <w:r>
        <w:rPr>
          <w:b/>
        </w:rPr>
        <w:t xml:space="preserve">Ergebnis: </w:t>
      </w:r>
      <w:r>
        <w:t>79,0 % der 6.835 Entwürfe wurden eingereicht, 18,6 % gelöscht, 2,5 % ausstehend. Mittlere Bearbeitungszeit 15 min. 28,7 % der Entwürfe hatten mindestens einen Rückkehr-Zugriff. Von 1.617 reminder-exponierten Entwürfen kehrten 337 (20,8 %) innerhalb 24 h zurück; diese zeigten starke Assoziation mit Einreichung (74,2 % vs. 19,8 %, aOR 11,16).</w:t>
      </w:r>
    </w:p>
    <w:p>
      <w:r>
        <w:rPr>
          <w:b/>
          <w:sz w:val="19"/>
        </w:rPr>
        <w:t xml:space="preserve">Übertragbarkeit: </w:t>
      </w:r>
      <w:r>
        <w:rPr>
          <w:sz w:val="19"/>
        </w:rPr>
        <w:t>Taiwanisches System; Designprinzipien für Meldesysteme sind systemübergreifend anwendbar.</w:t>
      </w:r>
    </w:p>
    <w:p>
      <w:r>
        <w:rPr>
          <w:color w:val="5A7D3A"/>
          <w:sz w:val="18"/>
        </w:rPr>
        <w:t>https://pubmed.ncbi.nlm.nih.gov/42863845/</w:t>
      </w:r>
    </w:p>
    <w:p>
      <w:pPr>
        <w:pStyle w:val="Heading2"/>
      </w:pPr>
      <w:r>
        <w:t>Radiopharmaka: Kollaborationsmängel zwischen Fachkräften gefährden Patientensicherheit</w:t>
      </w:r>
    </w:p>
    <w:p>
      <w:r>
        <w:rPr>
          <w:i/>
          <w:color w:val="666666"/>
          <w:sz w:val="18"/>
        </w:rPr>
        <w:t>Ramos-Membrive R et al.  ·  Phys Med  ·  24.09.2026  ·  PMID 42785035</w:t>
      </w:r>
    </w:p>
    <w:p>
      <w:r>
        <w:t>Landesweite Befragung von 52 Fachleuten aus 40 spanischen radiopharmakologischen Zentren zur Bewertung von Arbeitsabläufen, Aktivitätsprüfung, Qualitätskontrolle und Strahlensch uz sowie interprofessionellen Diskrepanzen.</w:t>
      </w:r>
    </w:p>
    <w:p>
      <w:r>
        <w:rPr>
          <w:b/>
        </w:rPr>
        <w:t xml:space="preserve">Ergebnis: </w:t>
      </w:r>
      <w:r>
        <w:t>78 % der Zentren führen Radiopharmaka-Herstellung in-house durch. Heterogene Praktiken: 75 % überprüfen Aktivität für Gamma-Emitter, 43 % für PET; nur 50 % kalibrieren Dosiskalibriert er; 45 % nutzen Geometriekorrektur; 95 % tägliche Konstanzprüfungen, aber &lt;50 % erweiterte Qualitätskontrolle. Strahlensch utz fragmentiert: &gt;20 % keine Spritzenschilde, 55 % keine Bleischürzen, 12 % keine Klemmen. 25 von 52 Zentren zeigten interprofessionelle Diskrepanzen.</w:t>
      </w:r>
    </w:p>
    <w:p>
      <w:r>
        <w:rPr>
          <w:b/>
          <w:sz w:val="19"/>
        </w:rPr>
        <w:t xml:space="preserve">Übertragbarkeit: </w:t>
      </w:r>
      <w:r>
        <w:rPr>
          <w:sz w:val="19"/>
        </w:rPr>
        <w:t>Spanien mit vergleichbarem EU-Regulierungssystem; Sicherheitslücken in Radiopharmaka-Praxis auf Deutschland übertragbar.</w:t>
      </w:r>
    </w:p>
    <w:p>
      <w:r>
        <w:rPr>
          <w:color w:val="5A7D3A"/>
          <w:sz w:val="18"/>
        </w:rPr>
        <w:t>https://pubmed.ncbi.nlm.nih.gov/42785035/</w:t>
      </w:r>
    </w:p>
    <w:p>
      <w:pPr>
        <w:pStyle w:val="Heading1"/>
      </w:pPr>
      <w:r>
        <w:t>Aufgenommen am 13.10.2026</w:t>
      </w:r>
    </w:p>
    <w:p>
      <w:pPr>
        <w:pStyle w:val="Heading2"/>
      </w:pPr>
      <w:r>
        <w:t>Elternbeteiligung in Kindersicherheitsinterventionen: systematische Übersicht von 111 Studien</w:t>
      </w:r>
    </w:p>
    <w:p>
      <w:r>
        <w:rPr>
          <w:i/>
          <w:color w:val="666666"/>
          <w:sz w:val="18"/>
        </w:rPr>
        <w:t>Purchase T et al.  ·  Health Expect  ·  Okt. 2026  ·  PMID 42861431</w:t>
      </w:r>
    </w:p>
    <w:p>
      <w:r>
        <w:t>Systematische Übersicht von 111 Studien zur Einbeziehung von Eltern in Sicherheitsinterventionen bei Kindern (Medikation, Kommunikation, Diagnose).</w:t>
      </w:r>
    </w:p>
    <w:p>
      <w:r>
        <w:rPr>
          <w:b/>
        </w:rPr>
        <w:t xml:space="preserve">Ergebnis: </w:t>
      </w:r>
      <w:r>
        <w:t>Interventionen adressierten primär direkte Patientenpflege (97,3%) durch Konsultationen (70,3%), erreichten aber bei Elternbeteiligung im Design und in Forschung nur Informationsstufe (59,5%). 65% der Studien in Sekundärversorgung, 39% experimentelles Design, 50% Fokus auf Medikationssicherheit. Elternengagement blieb inkonsistent und oft unverbindlich ohne Messung echter Sicherheitsergebnisse.</w:t>
      </w:r>
    </w:p>
    <w:p>
      <w:r>
        <w:rPr>
          <w:b/>
          <w:sz w:val="19"/>
        </w:rPr>
        <w:t xml:space="preserve">Übertragbarkeit: </w:t>
      </w:r>
      <w:r>
        <w:rPr>
          <w:sz w:val="19"/>
        </w:rPr>
        <w:t>Großbritannien, vergleichbare Gesundheitssysteme im Fokus; Ansätze übertragbar auf Deutschland</w:t>
      </w:r>
    </w:p>
    <w:p>
      <w:r>
        <w:rPr>
          <w:color w:val="5A7D3A"/>
          <w:sz w:val="18"/>
        </w:rPr>
        <w:t>https://pubmed.ncbi.nlm.nih.gov/42861431/</w:t>
      </w:r>
    </w:p>
    <w:p>
      <w:pPr>
        <w:pStyle w:val="Heading2"/>
      </w:pPr>
      <w:r>
        <w:t>Kaiserschnittinfektionen in Afrika: durchschnittlich 10% mit konsistenten Risikofaktoren</w:t>
      </w:r>
    </w:p>
    <w:p>
      <w:r>
        <w:rPr>
          <w:i/>
          <w:color w:val="666666"/>
          <w:sz w:val="18"/>
        </w:rPr>
        <w:t>Addis M et al.  ·  Womens Health (Lond)  ·  11.10.2026  ·  PMID 42859868</w:t>
      </w:r>
    </w:p>
    <w:p>
      <w:r>
        <w:t>Umbrella Review von 7 systematischen Übersichten mit 71 Primärstudien zu Operationswundinfektionen nach Kaiserschnitt in Afrika (n=61.485).</w:t>
      </w:r>
    </w:p>
    <w:p>
      <w:r>
        <w:rPr>
          <w:b/>
        </w:rPr>
        <w:t xml:space="preserve">Ergebnis: </w:t>
      </w:r>
      <w:r>
        <w:t>Pooled Prävalenz durchgehend um 10%. Konsistente Risikofaktoren: Anämie, Chorioamnionitis, verlängerte Geburt, Blasensprung &gt;18h, vertikale Hautinzision, Allgemeinanästhesie. Fünf Reviews hohe Qualität, zwei mittlere; starke Heterogenität und Methodenlimitationen erkannt.</w:t>
      </w:r>
    </w:p>
    <w:p>
      <w:r>
        <w:rPr>
          <w:b/>
          <w:sz w:val="19"/>
        </w:rPr>
        <w:t xml:space="preserve">Übertragbarkeit: </w:t>
      </w:r>
      <w:r>
        <w:rPr>
          <w:sz w:val="19"/>
        </w:rPr>
        <w:t>Subsahara-Afrika, LMIC-Setting; Konzepte übertragbar, Epidemiologie unterschiedlich von Deutschland</w:t>
      </w:r>
    </w:p>
    <w:p>
      <w:r>
        <w:rPr>
          <w:color w:val="5A7D3A"/>
          <w:sz w:val="18"/>
        </w:rPr>
        <w:t>https://pubmed.ncbi.nlm.nih.gov/42859868/</w:t>
      </w:r>
    </w:p>
    <w:p>
      <w:pPr>
        <w:pStyle w:val="Heading2"/>
      </w:pPr>
      <w:r>
        <w:t>COVID-19 verstärkte Antibiotikaübergebrauch trotz niedriger Koinfektion – Stewardship-Lücke</w:t>
      </w:r>
    </w:p>
    <w:p>
      <w:r>
        <w:rPr>
          <w:i/>
          <w:color w:val="666666"/>
          <w:sz w:val="18"/>
        </w:rPr>
        <w:t>Špelić M et al.  ·  Arh Hig Rada Toksikol  ·  01.09.2026  ·  PMID 42859407</w:t>
      </w:r>
    </w:p>
    <w:p>
      <w:r>
        <w:t>Narrative Übersicht des Verhältnisses zwischen COVID-19, Antibiotikaverbrauch und Resistenzentwicklung mit Fokus auf Stewardship-Interventionen.</w:t>
      </w:r>
    </w:p>
    <w:p>
      <w:r>
        <w:rPr>
          <w:b/>
        </w:rPr>
        <w:t xml:space="preserve">Ergebnis: </w:t>
      </w:r>
      <w:r>
        <w:t>Trotz niedriger bestätigter Koinfektion (unter 50%) blieb Antibiotikaverbrauch unangemessen hoch, besonders früh in Pandemie. Multidisziplinäres Antimicrobial Stewardship, schnelle Diagnostik und Impfung identifiziert als komplementäre Strategien zur Reduktion unnötiger Exposition; One-Health-Ansatz unterstrichen.</w:t>
      </w:r>
    </w:p>
    <w:p>
      <w:r>
        <w:rPr>
          <w:b/>
          <w:sz w:val="19"/>
        </w:rPr>
        <w:t xml:space="preserve">Übertragbarkeit: </w:t>
      </w:r>
      <w:r>
        <w:rPr>
          <w:sz w:val="19"/>
        </w:rPr>
        <w:t>Kroatien, europäischer Kontext; Pandemie-Stewardship-Befunde europäisch übertragbar</w:t>
      </w:r>
    </w:p>
    <w:p>
      <w:r>
        <w:rPr>
          <w:color w:val="5A7D3A"/>
          <w:sz w:val="18"/>
        </w:rPr>
        <w:t>https://pubmed.ncbi.nlm.nih.gov/42859407/</w:t>
      </w:r>
    </w:p>
    <w:p>
      <w:pPr>
        <w:pStyle w:val="Heading2"/>
      </w:pPr>
      <w:r>
        <w:t>5-Faktor-Modell für Staphylococcus-aureus-Sepsis-Mortalität: AUC 0,816</w:t>
      </w:r>
    </w:p>
    <w:p>
      <w:r>
        <w:rPr>
          <w:i/>
          <w:color w:val="666666"/>
          <w:sz w:val="18"/>
        </w:rPr>
        <w:t>Yu Z et al.  ·  Medicine (Baltimore)  ·  09.10.2026  ·  PMID 42854039</w:t>
      </w:r>
    </w:p>
    <w:p>
      <w:r>
        <w:t>Retrospektive Kohortenstudie von 2.221 ICU-Patienten mit bestätigter Bacteriämie zur Identifikation von Faktoren für S.-aureus-BSI und Mortalitätsprognose (MIMIC-IV-Daten).</w:t>
      </w:r>
    </w:p>
    <w:p>
      <w:r>
        <w:rPr>
          <w:b/>
        </w:rPr>
        <w:t xml:space="preserve">Ergebnis: </w:t>
      </w:r>
      <w:r>
        <w:t>297 S.-aureus-BSI (13,4%); nach Matching 26,9% versus 24,2% 28-Tages-Mortalität (kein signifikanter Unterschied). Prognostisches Modell mit 5 Faktoren (Alter, RDW-max, WBC-min, aPTT-min, Albumin-max): AUC 0,816 (95%-KI 0,757–0,870), optimism-corrected 0,804 (0,752–0,861); externe Validierung AUC 0,778 (0,591–0,929).</w:t>
      </w:r>
    </w:p>
    <w:p>
      <w:r>
        <w:rPr>
          <w:b/>
          <w:sz w:val="19"/>
        </w:rPr>
        <w:t xml:space="preserve">Übertragbarkeit: </w:t>
      </w:r>
      <w:r>
        <w:rPr>
          <w:sz w:val="19"/>
        </w:rPr>
        <w:t>USA-ICU-Daten; nur Prognose-Befund ohne Interventionsbezug, begrenzt übertragbar</w:t>
      </w:r>
    </w:p>
    <w:p>
      <w:r>
        <w:rPr>
          <w:color w:val="5A7D3A"/>
          <w:sz w:val="18"/>
        </w:rPr>
        <w:t>https://pubmed.ncbi.nlm.nih.gov/42854039/</w:t>
      </w:r>
    </w:p>
    <w:p>
      <w:pPr>
        <w:pStyle w:val="Heading2"/>
      </w:pPr>
      <w:r>
        <w:t>Zahnwurzel-Desinfektionserfolg hängt von Position ab: apikal/medial 69% Restbakterien</w:t>
      </w:r>
    </w:p>
    <w:p>
      <w:r>
        <w:rPr>
          <w:i/>
          <w:color w:val="666666"/>
          <w:sz w:val="18"/>
        </w:rPr>
        <w:t>Böcher S et al.  ·  Clin Oral Investig  ·  26.08.2026  ·  PMID 42645627</w:t>
      </w:r>
    </w:p>
    <w:p>
      <w:r>
        <w:t>Experimentelle Studie mit 30 menschlichen Zähnen (E.-faecalis-Infektion) zur Bewertung von Desinfektionseffektivität nach Position mittels konfokaler Lasermikroskopie mit LIVE/DEAD-Färbung.</w:t>
      </w:r>
    </w:p>
    <w:p>
      <w:r>
        <w:rPr>
          <w:b/>
        </w:rPr>
        <w:t xml:space="preserve">Ergebnis: </w:t>
      </w:r>
      <w:r>
        <w:t>Wurzelkanalposition war signifikanter Faktor für Bakterienkolonisation und Eradikation (p&lt;0,05), nicht Behandlung oder Sklerosierungsgrad. Restbakterien in bewässerter Zone wahrscheinlicher medial/apikal (OR 2,67–2,74) als koronal: 45,5% koronal, 69,0% medial, 69,6% apikal. Weder Behandlung noch Sonic-Aktivierung signifikant.</w:t>
      </w:r>
    </w:p>
    <w:p>
      <w:r>
        <w:rPr>
          <w:b/>
          <w:sz w:val="19"/>
        </w:rPr>
        <w:t xml:space="preserve">Übertragbarkeit: </w:t>
      </w:r>
      <w:r>
        <w:rPr>
          <w:sz w:val="19"/>
        </w:rPr>
        <w:t>Deutschland (RWTH Aachen), vergleichbare Laborbedingungen; Befund jedoch in vitro ohne Patientenrelevanz</w:t>
      </w:r>
    </w:p>
    <w:p>
      <w:r>
        <w:rPr>
          <w:color w:val="5A7D3A"/>
          <w:sz w:val="18"/>
        </w:rPr>
        <w:t>https://pubmed.ncbi.nlm.nih.gov/42645627/</w:t>
      </w:r>
    </w:p>
    <w:p>
      <w:pPr>
        <w:pStyle w:val="Heading2"/>
      </w:pPr>
      <w:r>
        <w:t>Straßenverkehrssicherheit: Systemansatz stärker als Personenfokus, aber lokale Hemmnisse</w:t>
      </w:r>
    </w:p>
    <w:p>
      <w:r>
        <w:rPr>
          <w:i/>
          <w:color w:val="666666"/>
          <w:sz w:val="18"/>
        </w:rPr>
        <w:t>Staton M et al.  ·  Accid Anal Prev  ·  13.08.2026  ·  PMID 42594689</w:t>
      </w:r>
    </w:p>
    <w:p>
      <w:r>
        <w:t>Qualitative Studie mit 21 Interviews zu Entscheidungsfindung und Beziehungen zwischen Akteuren der Straßenverkehrssicherheit auf kommunaler Ebene (UK).</w:t>
      </w:r>
    </w:p>
    <w:p>
      <w:r>
        <w:rPr>
          <w:b/>
        </w:rPr>
        <w:t xml:space="preserve">Ergebnis: </w:t>
      </w:r>
      <w:r>
        <w:t>Dominanter Ansatz weiterhin personenbasiert statt systemisch; Verantwortungsverlagerung auf lokale Ebene könnte dies verstärken. Schlüsselfaktoren: formale Partnerschaften, Cross-Department-Arbeit, finanzielle Hebel. Vision Zero/Safe-System-Ansatz identifiziert als Facilitation für Systemshift; Siloarbeit, Öffentlichkeit, Lobbying als Barrieren.</w:t>
      </w:r>
    </w:p>
    <w:p>
      <w:r>
        <w:rPr>
          <w:b/>
          <w:sz w:val="19"/>
        </w:rPr>
        <w:t xml:space="preserve">Übertragbarkeit: </w:t>
      </w:r>
      <w:r>
        <w:rPr>
          <w:sz w:val="19"/>
        </w:rPr>
        <w:t>Großbritannien, qualitative Governance-Studie; transferierbare Befunde zu Entscheidungsmechanismen</w:t>
      </w:r>
    </w:p>
    <w:p>
      <w:r>
        <w:rPr>
          <w:color w:val="5A7D3A"/>
          <w:sz w:val="18"/>
        </w:rPr>
        <w:t>https://pubmed.ncbi.nlm.nih.gov/42594689/</w:t>
      </w:r>
    </w:p>
    <w:p>
      <w:pPr>
        <w:pStyle w:val="Heading1"/>
      </w:pPr>
      <w:r>
        <w:t>Aufgenommen am 12.10.2026</w:t>
      </w:r>
    </w:p>
    <w:p>
      <w:pPr>
        <w:pStyle w:val="Heading2"/>
      </w:pPr>
      <w:r>
        <w:t>Nanopartikel-Beschichtung senkte Umgebungskeime auf Intensivstationen um 26,5 %</w:t>
      </w:r>
    </w:p>
    <w:p>
      <w:r>
        <w:rPr>
          <w:i/>
          <w:color w:val="666666"/>
          <w:sz w:val="18"/>
        </w:rPr>
        <w:t>Varma S et al.  ·  J Infect Dev Ctries  ·  30.09.2026  ·  PMID 42858349</w:t>
      </w:r>
    </w:p>
    <w:p>
      <w:r>
        <w:t>Studie an zwei Intensivstationen eines Trauma-Zentrums in Indien verglich die Wirkung einer Titandioxid-Nanopartikel-Beschichtung gegen Routinereinigung.</w:t>
      </w:r>
    </w:p>
    <w:p>
      <w:r>
        <w:rPr>
          <w:b/>
        </w:rPr>
        <w:t xml:space="preserve">Ergebnis: </w:t>
      </w:r>
      <w:r>
        <w:t>Auf der beschichteten Station sanken positive Umweltabstriche um 26,5 %, auf der Kontrollstation stiegen sie um 160,9 % (p = 0,000). Ventilator-assoziierte Pneumonie sank um 72,5 %; zentrale Kathetersepsis und Harnwegsinfektionen stiegen. Die Beschichtung könnte Standardmethoden supplementieren, weitere Studien zur Kosteneffektivität sind erforderlich.</w:t>
      </w:r>
    </w:p>
    <w:p>
      <w:r>
        <w:rPr>
          <w:b/>
          <w:sz w:val="19"/>
        </w:rPr>
        <w:t xml:space="preserve">Übertragbarkeit: </w:t>
      </w:r>
      <w:r>
        <w:rPr>
          <w:sz w:val="19"/>
        </w:rPr>
        <w:t>Indien, Trauma-Zentrum; Übertragbarkeit auf Deutschland begrenzt durch Ressourcenlage, aber Konzept einer zusätzlichen Desinfektionsmassnahme prüfenswert.</w:t>
      </w:r>
    </w:p>
    <w:p>
      <w:r>
        <w:rPr>
          <w:color w:val="5A7D3A"/>
          <w:sz w:val="18"/>
        </w:rPr>
        <w:t>https://pubmed.ncbi.nlm.nih.gov/42858349/</w:t>
      </w:r>
    </w:p>
    <w:p>
      <w:pPr>
        <w:pStyle w:val="Heading2"/>
      </w:pPr>
      <w:r>
        <w:t>Händehygiene-Compliance während COVID-19 stieg auf 33,1 %, fiel danach auf 14,7 %</w:t>
      </w:r>
    </w:p>
    <w:p>
      <w:r>
        <w:rPr>
          <w:i/>
          <w:color w:val="666666"/>
          <w:sz w:val="18"/>
        </w:rPr>
        <w:t>Mlouki I et al.  ·  J Infect Dev Ctries  ·  30.09.2026  ·  PMID 42858347</w:t>
      </w:r>
    </w:p>
    <w:p>
      <w:r>
        <w:t>Beobachtungsstudie an einem tunesischen Universitätsklinikum analysierte Trends in der Händehygiene-Compliance von 2020 bis 2023 unter Gesundheitspersonal.</w:t>
      </w:r>
    </w:p>
    <w:p>
      <w:r>
        <w:rPr>
          <w:b/>
        </w:rPr>
        <w:t xml:space="preserve">Ergebnis: </w:t>
      </w:r>
      <w:r>
        <w:t>Von 993 dokumentierten Handhygiene-Gelegenheiten: Gesamtcompliance 22,1 %, mit Gipfel 33,1 % im Jahr 2022 und Rückfall auf 14,7 % im Jahr 2023. Nach Patientenkontakt höher (28,4 % vs. 39 %, p = 0,08). Compliance in Hochrisiko-Abteilungen und bei invasiven Verfahren besser. Kontinuierliche Überwachung und institutionelle Unterstützung notwendig, um Rückfälle zu verhindern.</w:t>
      </w:r>
    </w:p>
    <w:p>
      <w:r>
        <w:rPr>
          <w:b/>
          <w:sz w:val="19"/>
        </w:rPr>
        <w:t xml:space="preserve">Übertragbarkeit: </w:t>
      </w:r>
      <w:r>
        <w:rPr>
          <w:sz w:val="19"/>
        </w:rPr>
        <w:t>Tunesien; ähnliche Herausforderungen bei Nachhaltigkeitsdefizit wie in Mitteleuropa, braucht aber Kontext lokaler Ressourcen.</w:t>
      </w:r>
    </w:p>
    <w:p>
      <w:r>
        <w:rPr>
          <w:color w:val="5A7D3A"/>
          <w:sz w:val="18"/>
        </w:rPr>
        <w:t>https://pubmed.ncbi.nlm.nih.gov/42858347/</w:t>
      </w:r>
    </w:p>
    <w:p>
      <w:pPr>
        <w:pStyle w:val="Heading2"/>
      </w:pPr>
      <w:r>
        <w:t>Breispektrum-Antibiotika verdreifachten sich bei CRE-Blutstrominfektionen während COVID-19</w:t>
      </w:r>
    </w:p>
    <w:p>
      <w:r>
        <w:rPr>
          <w:i/>
          <w:color w:val="666666"/>
          <w:sz w:val="18"/>
        </w:rPr>
        <w:t>Xu L et al.  ·  J Infect Dev Ctries  ·  30.09.2026  ·  PMID 42858345</w:t>
      </w:r>
    </w:p>
    <w:p>
      <w:r>
        <w:t>Retrospektive Kohortenstudie in China untersuchte die Auswirkung der COVID-19-Pandemie auf Häufigkeit carbapenem-resistenter Enterobacteriaceae-Blutstrominfektionen und Antibiotikaverbrauch.</w:t>
      </w:r>
    </w:p>
    <w:p>
      <w:r>
        <w:rPr>
          <w:b/>
        </w:rPr>
        <w:t xml:space="preserve">Ergebnis: </w:t>
      </w:r>
      <w:r>
        <w:t>184 CRE-BSI-Fälle über drei Zeiträume; CRE-BSI-Raten stabil (7,81 bis 9,63 pro 100.000 Hospitalisierungstage). Antibiotikaverbrauch stieg signifikant (p &lt; 0,001), Cephalosporine-Nutzung bei CRE-Patienten um 50 % erhöht. Carbapenem-Resistenzrate 18,6–19,0 % ohne signifikante Unterschiede. Breite Antibiotika-Eskalation war nicht gerechtfertigt und trägt zur Resistenzentwicklung bei.</w:t>
      </w:r>
    </w:p>
    <w:p>
      <w:r>
        <w:rPr>
          <w:b/>
          <w:sz w:val="19"/>
        </w:rPr>
        <w:t xml:space="preserve">Übertragbarkeit: </w:t>
      </w:r>
      <w:r>
        <w:rPr>
          <w:sz w:val="19"/>
        </w:rPr>
        <w:t>China, einzelnes Zentrum; zeigt Stewardship-Versäumnisse, die typisch für Pandemie-Krisen auch in Deutschland auftraten.</w:t>
      </w:r>
    </w:p>
    <w:p>
      <w:r>
        <w:rPr>
          <w:color w:val="5A7D3A"/>
          <w:sz w:val="18"/>
        </w:rPr>
        <w:t>https://pubmed.ncbi.nlm.nih.gov/42858345/</w:t>
      </w:r>
    </w:p>
    <w:p>
      <w:pPr>
        <w:pStyle w:val="Heading2"/>
      </w:pPr>
      <w:r>
        <w:t>Chinesischer Expertenkonsens: Risikomanagement im klinisch-pathologischen Labor – acht Schlüsselfragen beantwortet</w:t>
      </w:r>
    </w:p>
    <w:p>
      <w:r>
        <w:rPr>
          <w:i/>
          <w:color w:val="666666"/>
          <w:sz w:val="18"/>
        </w:rPr>
        <w:t>Quality and Competency Management Group, Professional Committee of Tumor Pathology, China Anti-Cancer Association  ·  Zhonghua Bing Li Xue Za Zhi  ·  08.10.2026  ·  PMID 42851194</w:t>
      </w:r>
    </w:p>
    <w:p>
      <w:r>
        <w:t>Strukturierter Konsens der Chinese Anti-Cancer Association zur systematischen Risikoidenti­fizierung, -bewertung und -kontrolle in klinisch-pathologischen Laboratorien, basierend auf ISO- und CNAS-Standards.</w:t>
      </w:r>
    </w:p>
    <w:p>
      <w:r>
        <w:rPr>
          <w:b/>
        </w:rPr>
        <w:t xml:space="preserve">Ergebnis: </w:t>
      </w:r>
      <w:r>
        <w:t>Der Konsens adressiert acht klinische Fragen; definiert Risiko-Dimensionen: technische Operationen, biologische Sicherheit, Datenmanagement, Qualitätskontrolle. Kernprinzipien: Patientensicherheit und Diagnosequalität als Leitziel, strukturierte Risikopfade (Identifikation, Bewertung, Kontrolle, kontinuierliche Verbesserung). Praktische Managementmassnahmen für Pathologie-Labore etabliert. Ziel: Anhebung des Risiko-Bewusstseins und Optimierung der Ressourcen-Allokation.</w:t>
      </w:r>
    </w:p>
    <w:p>
      <w:r>
        <w:rPr>
          <w:b/>
          <w:sz w:val="19"/>
        </w:rPr>
        <w:t xml:space="preserve">Übertragbarkeit: </w:t>
      </w:r>
      <w:r>
        <w:rPr>
          <w:sz w:val="19"/>
        </w:rPr>
        <w:t>China, aber ISO-Standards und CNAS-Kriterien international gültig; Konsens-Methodik übertragbar auf deutsche Laboratorien nach RiliBÄK.</w:t>
      </w:r>
    </w:p>
    <w:p>
      <w:r>
        <w:rPr>
          <w:color w:val="5A7D3A"/>
          <w:sz w:val="18"/>
        </w:rPr>
        <w:t>https://pubmed.ncbi.nlm.nih.gov/42851194/</w:t>
      </w:r>
    </w:p>
    <w:p>
      <w:pPr>
        <w:pStyle w:val="Heading2"/>
      </w:pPr>
      <w:r>
        <w:t>JAAM-DIC-Score: Sensitivität 81,5 % zur Vorhersage von 28-Tage-Mortalität bei Sepsis-Koagulopathie</w:t>
      </w:r>
    </w:p>
    <w:p>
      <w:r>
        <w:rPr>
          <w:i/>
          <w:color w:val="666666"/>
          <w:sz w:val="18"/>
        </w:rPr>
        <w:t>Hannan M et al.  ·  J Coll Physicians Surg Pak  ·  Okt. 2026  ·  PMID 42851092</w:t>
      </w:r>
    </w:p>
    <w:p>
      <w:r>
        <w:t>Prospektive analytische Studie mit 150 Sepsis-Patienten auf einer Intensivstation in Pakistan evaluierte die Vorhersagekraft des JAAM-DIC-Scores für 28-Tage-Mortalität.</w:t>
      </w:r>
    </w:p>
    <w:p>
      <w:r>
        <w:rPr>
          <w:b/>
        </w:rPr>
        <w:t xml:space="preserve">Ergebnis: </w:t>
      </w:r>
      <w:r>
        <w:t>72 Patienten (48,0 %) mit JAAM-DIC-Score ≥4. 28-Tage-Mortalität 43,3 % (65 Todesfälle). JAAM-DIC: Sensitivität 81,5 %, Spezifität 77,6 %, PPV 73,6 %, NPV 84,6 %, diagnostische Genauigkeit 79,3 %. Score war durchführbar zur Risiko­stratifizierung von hochriskanten septischen Patienten mit DIC.</w:t>
      </w:r>
    </w:p>
    <w:p>
      <w:r>
        <w:rPr>
          <w:b/>
          <w:sz w:val="19"/>
        </w:rPr>
        <w:t xml:space="preserve">Übertragbarkeit: </w:t>
      </w:r>
      <w:r>
        <w:rPr>
          <w:sz w:val="19"/>
        </w:rPr>
        <w:t>Pakistan, Intensivmedizin; Score-Validierung international, deutsches Sepsis-Management würde ähnlich profitieren.</w:t>
      </w:r>
    </w:p>
    <w:p>
      <w:r>
        <w:rPr>
          <w:color w:val="5A7D3A"/>
          <w:sz w:val="18"/>
        </w:rPr>
        <w:t>https://pubmed.ncbi.nlm.nih.gov/42851092/</w:t>
      </w:r>
    </w:p>
    <w:p>
      <w:pPr>
        <w:pStyle w:val="Heading2"/>
      </w:pPr>
      <w:r>
        <w:t>SOFA-Score vorhersagekräftiger als Biomarker für Sepsis-Mortalität auf ländlicher Intensivstation</w:t>
      </w:r>
    </w:p>
    <w:p>
      <w:r>
        <w:rPr>
          <w:i/>
          <w:color w:val="666666"/>
          <w:sz w:val="18"/>
        </w:rPr>
        <w:t>Reddy H et al.  ·  Clin Lab  ·  01.10.2026  ·  PMID 42847956</w:t>
      </w:r>
    </w:p>
    <w:p>
      <w:r>
        <w:t>Querschnittsstudie mit 300 Patienten auf einer ländlichen Intensivstation in Indien verglich kritische Scores und Biomarker zur Prognose von Sepsis-Mortalität und Beatmungsbedarf.</w:t>
      </w:r>
    </w:p>
    <w:p>
      <w:r>
        <w:rPr>
          <w:b/>
        </w:rPr>
        <w:t xml:space="preserve">Ergebnis: </w:t>
      </w:r>
      <w:r>
        <w:t>SOFA mit Cutoff ≥9 beste Vorhersage (OR: 2,98, p &lt; 0,001, Sensitivität 94 %, Spezifität 86 %). APACHE IV (Cutoff &gt;71, AUC 0,840) und NLPR (Cutoff &gt;3,1, AUC 0,716) signifikant. PaO₂/FiO₂ negativ korreliert mit Mortalität (OR 0,022, p &lt; 0,001) und Beatmungsbedarf. 70 Todesfälle in der Kohorte. In ressourcenlimitierten Umgebungen ist NLPR pragmatische Alternative.</w:t>
      </w:r>
    </w:p>
    <w:p>
      <w:r>
        <w:rPr>
          <w:b/>
          <w:sz w:val="19"/>
        </w:rPr>
        <w:t xml:space="preserve">Übertragbarkeit: </w:t>
      </w:r>
      <w:r>
        <w:rPr>
          <w:sz w:val="19"/>
        </w:rPr>
        <w:t>Indien, ländliches Setting; SOFA-Überlegenheit aber auch in deutschen Zentren mit besseren Ressourcen etabliert.</w:t>
      </w:r>
    </w:p>
    <w:p>
      <w:r>
        <w:rPr>
          <w:color w:val="5A7D3A"/>
          <w:sz w:val="18"/>
        </w:rPr>
        <w:t>https://pubmed.ncbi.nlm.nih.gov/42847956/</w:t>
      </w:r>
    </w:p>
    <w:p>
      <w:pPr>
        <w:pStyle w:val="Heading2"/>
      </w:pPr>
      <w:r>
        <w:t>Pichia-kudriavzevii-Ausbruch über sechs Krankenhäuser hinweg, ein Stamm seit 1935 nachweisbar</w:t>
      </w:r>
    </w:p>
    <w:p>
      <w:r>
        <w:rPr>
          <w:i/>
          <w:color w:val="666666"/>
          <w:sz w:val="18"/>
        </w:rPr>
        <w:t>Spruijtenburg B et al.  ·  Med Mycol  ·  05.08.2026  ·  PMID 42560405</w:t>
      </w:r>
    </w:p>
    <w:p>
      <w:r>
        <w:t>Molekularepidemiologische Studie mit Kurzsequenz-Wiederholungs-Genotypisierung von 106 Pichia-kudriavzevii-Isolaten aus Indien zeigte nosokomialen Transmissionsmustern und einen global verbreiteten Stamm.</w:t>
      </w:r>
    </w:p>
    <w:p>
      <w:r>
        <w:rPr>
          <w:b/>
        </w:rPr>
        <w:t xml:space="preserve">Ergebnis: </w:t>
      </w:r>
      <w:r>
        <w:t>52 unterschiedliche Genotypen plus fünf Cluster (zwei bis 22 Isolate). Ein Multizentrums-Cluster umfasste sechs Krankenhäuser; derselbe Stamm identisch mit iranischen Isolaten und verwandt mit niederländischen und sri-lankischen Isolaten (letzte seit 1935). Fluconazol-Resistenz intrinsisch. Befund deuten auf erhöhtes Transmissionspotenzial und Fitness-Vorteil eines Stamms hin.</w:t>
      </w:r>
    </w:p>
    <w:p>
      <w:r>
        <w:rPr>
          <w:b/>
          <w:sz w:val="19"/>
        </w:rPr>
        <w:t xml:space="preserve">Übertragbarkeit: </w:t>
      </w:r>
      <w:r>
        <w:rPr>
          <w:sz w:val="19"/>
        </w:rPr>
        <w:t>Indien; zeigt grenzüberschreitende nosokomiale Transmission, unterstreicht Surveillance-Notwendigkeit auch in Deutschland.</w:t>
      </w:r>
    </w:p>
    <w:p>
      <w:r>
        <w:rPr>
          <w:color w:val="5A7D3A"/>
          <w:sz w:val="18"/>
        </w:rPr>
        <w:t>https://pubmed.ncbi.nlm.nih.gov/42560405/</w:t>
      </w:r>
    </w:p>
    <w:p>
      <w:pPr>
        <w:pStyle w:val="Heading1"/>
      </w:pPr>
      <w:r>
        <w:t>Aufgenommen am 11.10.2026</w:t>
      </w:r>
    </w:p>
    <w:p>
      <w:pPr>
        <w:pStyle w:val="Heading2"/>
      </w:pPr>
      <w:r>
        <w:t>Deprescribing-Leitlinie für ältere Erwachsene reduziert potentiell unangemessene Medikamente</w:t>
      </w:r>
    </w:p>
    <w:p>
      <w:r>
        <w:rPr>
          <w:i/>
          <w:color w:val="666666"/>
          <w:sz w:val="18"/>
        </w:rPr>
        <w:t>Tian F et al.  ·  BMC Geriatr  ·  21.09.2026  ·  PMID 42855669</w:t>
      </w:r>
    </w:p>
    <w:p>
      <w:r>
        <w:t>Chinesische Fachgruppe entwickelte evidenzbasierte Richtlinie für De-Verschreibung potentiell unangemessener Medikamente (PIM) bei älteren Erwachsenen mit standardisiertem ORDER-Prozess (fünf Schritte) und Delphi-Konsens.</w:t>
      </w:r>
    </w:p>
    <w:p>
      <w:r>
        <w:rPr>
          <w:b/>
        </w:rPr>
        <w:t xml:space="preserve">Ergebnis: </w:t>
      </w:r>
      <w:r>
        <w:t>Neue Leitlinie ORDER (organize, medication review, develop plan, execute, realize feedback) als erstes standardisiertes Chinas-Protokoll für PIM-Management. Multidisziplinäres Modell mit Patientenbeteiligung; 15 Aspekte für deprescribing-Empfehlungen entwickelt. Konkrete Machbarkeit und Priorisierung von PIM empfohlen.</w:t>
      </w:r>
    </w:p>
    <w:p>
      <w:r>
        <w:rPr>
          <w:b/>
          <w:sz w:val="19"/>
        </w:rPr>
        <w:t xml:space="preserve">Übertragbarkeit: </w:t>
      </w:r>
      <w:r>
        <w:rPr>
          <w:sz w:val="19"/>
        </w:rPr>
        <w:t>China, aber Medication-Safety-Grundprinzipien international übertragbar, deutsche Geriatrie-Leitlinien ähnlich strukturiert</w:t>
      </w:r>
    </w:p>
    <w:p>
      <w:r>
        <w:rPr>
          <w:color w:val="5A7D3A"/>
          <w:sz w:val="18"/>
        </w:rPr>
        <w:t>https://pubmed.ncbi.nlm.nih.gov/42855669/</w:t>
      </w:r>
    </w:p>
    <w:p>
      <w:pPr>
        <w:pStyle w:val="Heading2"/>
      </w:pPr>
      <w:r>
        <w:t>Ethische Haltung von Notfallteams schwach assoziiert mit Bewusstsein für Kunstfehlerhaftung</w:t>
      </w:r>
    </w:p>
    <w:p>
      <w:r>
        <w:rPr>
          <w:i/>
          <w:color w:val="666666"/>
          <w:sz w:val="18"/>
        </w:rPr>
        <w:t>Degirmenci S et al.  ·  Medicine (Baltimore)  ·  09.10.2026  ·  PMID 42854010</w:t>
      </w:r>
    </w:p>
    <w:p>
      <w:r>
        <w:t>Türkische Querschnittsstudie an 397 Notfall-Fachpersonen entwickelte Skala für ethischen Zugang zu psychiatrischen Patienten in Notfallkontexten und prüfte Assoziation mit Bewusstsein für Kunstfehlerhaftungsrisiko.</w:t>
      </w:r>
    </w:p>
    <w:p>
      <w:r>
        <w:rPr>
          <w:b/>
        </w:rPr>
        <w:t xml:space="preserve">Ergebnis: </w:t>
      </w:r>
      <w:r>
        <w:t>Angepasste 16-Item-Skala für ethischen Zugang validiert. Kunstfehlerhaftungsrisiko-Bewusstsein unterschied sich signifikant nach Geschlecht, Beruf, Einkommen, Schulung und Kunstfehler-Erlebnis. Ethische Zugangsskala zeigte statistisch signifikante, aber schwache Assoziation (1,5% erklärte Varianz) mit Kunstfehler-Bewusstsein.</w:t>
      </w:r>
    </w:p>
    <w:p>
      <w:r>
        <w:rPr>
          <w:b/>
          <w:sz w:val="19"/>
        </w:rPr>
        <w:t xml:space="preserve">Übertragbarkeit: </w:t>
      </w:r>
      <w:r>
        <w:rPr>
          <w:sz w:val="19"/>
        </w:rPr>
        <w:t>Türkei, Notfall-Sicherheitskultur, aber Ethik-Kunstfehler-Nexus international relevant</w:t>
      </w:r>
    </w:p>
    <w:p>
      <w:r>
        <w:rPr>
          <w:color w:val="5A7D3A"/>
          <w:sz w:val="18"/>
        </w:rPr>
        <w:t>https://pubmed.ncbi.nlm.nih.gov/42854010/</w:t>
      </w:r>
    </w:p>
    <w:p>
      <w:pPr>
        <w:pStyle w:val="Heading2"/>
      </w:pPr>
      <w:r>
        <w:t>Laborbasiertes Prognose-Nomogramm stratifiziert Sepsis-Patienten früh nach Mortalitätsrisiko</w:t>
      </w:r>
    </w:p>
    <w:p>
      <w:r>
        <w:rPr>
          <w:i/>
          <w:color w:val="666666"/>
          <w:sz w:val="18"/>
        </w:rPr>
        <w:t>Shu M et al.  ·  Lab Med  ·  05.10.2026  ·  PMID 42853634</w:t>
      </w:r>
    </w:p>
    <w:p>
      <w:r>
        <w:t>Entwicklung und Validierung eines LASSO-basierten Nomogramms zur Früh-Risikostratifikation bei Sepsis mit Laborparametern (SOFA, GCS, Harnstoff, IL-6).</w:t>
      </w:r>
    </w:p>
    <w:p>
      <w:r>
        <w:rPr>
          <w:b/>
        </w:rPr>
        <w:t xml:space="preserve">Ergebnis: </w:t>
      </w:r>
      <w:r>
        <w:t>Concordance-Index 0,806 (Training) und 0,889 (Validierung); Sensitivität/Spezifität 85,0%/68,8% (Training) und 87,9%/86,7% (Validierung). SOFA-Score (OR 1,271), GCS (OR 0,807), Serumurea (OR 1,097), IL-6 (OR 1,001) als unabhängige Prognose-Faktoren. Kalibrierungskurven zeigen gute Übereinstimmung.</w:t>
      </w:r>
    </w:p>
    <w:p>
      <w:r>
        <w:rPr>
          <w:b/>
          <w:sz w:val="19"/>
        </w:rPr>
        <w:t xml:space="preserve">Übertragbarkeit: </w:t>
      </w:r>
      <w:r>
        <w:rPr>
          <w:sz w:val="19"/>
        </w:rPr>
        <w:t>China, aber Sepsis-Biomarker und Prognose-Validierungsprinzipien global anwendbar</w:t>
      </w:r>
    </w:p>
    <w:p>
      <w:r>
        <w:rPr>
          <w:color w:val="5A7D3A"/>
          <w:sz w:val="18"/>
        </w:rPr>
        <w:t>https://pubmed.ncbi.nlm.nih.gov/42853634/</w:t>
      </w:r>
    </w:p>
    <w:p>
      <w:pPr>
        <w:pStyle w:val="Heading2"/>
      </w:pPr>
      <w:r>
        <w:t>Sepsis-Coagulopathie: Trajektorien vorhersagen Mortalität und Heparineffekt</w:t>
      </w:r>
    </w:p>
    <w:p>
      <w:r>
        <w:rPr>
          <w:i/>
          <w:color w:val="666666"/>
          <w:sz w:val="18"/>
        </w:rPr>
        <w:t>Cao Y et al.  ·  Front Cell Infect Microbiol  ·  24.09.2026  ·  PMID 42851353</w:t>
      </w:r>
    </w:p>
    <w:p>
      <w:r>
        <w:t>Multizenterstudie an 20.168 ICU-Patienten mit Sepsis-induzierter Coagulopathie (SIC), die drei Verlaufsmuster identifizierte und deren Assoziation mit 28-Tage-Mortalität sowie Wirksamkeit prophylaktischer Heparingabe evaluierte.</w:t>
      </w:r>
    </w:p>
    <w:p>
      <w:r>
        <w:rPr>
          <w:b/>
        </w:rPr>
        <w:t xml:space="preserve">Ergebnis: </w:t>
      </w:r>
      <w:r>
        <w:t>Drei SIC-Trajektorien: persistierend erhöht (31,9%), ansteigend-dann-fallend (10,6%), resolvent (57,5%). Persistierend erhöhte Trajektorie zeigte adjustierte Subdistribution-Hazard-Ratio 1,65 (95%-KI 1,52–1,78) für Mortalität vs. resolvent. Prophylaktisches Heparin assoziiert mit reduzierter Post-Landmark-Mortalität in MIMIC-IV (sHR 0,908, p=0,018), nicht repliziert in eICU-CRD (p=0,118).</w:t>
      </w:r>
    </w:p>
    <w:p>
      <w:r>
        <w:rPr>
          <w:b/>
          <w:sz w:val="19"/>
        </w:rPr>
        <w:t xml:space="preserve">Übertragbarkeit: </w:t>
      </w:r>
      <w:r>
        <w:rPr>
          <w:sz w:val="19"/>
        </w:rPr>
        <w:t>Multinationale ICU-Daten, sepsis-relevantes Treatment-Outcome, Translatierbarkeit begrenzt durch unterschiedliche Erkrankungsschwere</w:t>
      </w:r>
    </w:p>
    <w:p>
      <w:r>
        <w:rPr>
          <w:color w:val="5A7D3A"/>
          <w:sz w:val="18"/>
        </w:rPr>
        <w:t>https://pubmed.ncbi.nlm.nih.gov/42851353/</w:t>
      </w:r>
    </w:p>
    <w:p>
      <w:pPr>
        <w:pStyle w:val="Heading2"/>
      </w:pPr>
      <w:r>
        <w:t>Persistenter Ausbruch von Carbapenem-resistentem Acinetobacter baumannii trotz Standard-Infektionsprävention</w:t>
      </w:r>
    </w:p>
    <w:p>
      <w:r>
        <w:rPr>
          <w:i/>
          <w:color w:val="666666"/>
          <w:sz w:val="18"/>
        </w:rPr>
        <w:t>Sourenian T et al.  ·  Front Cell Infect Microbiol  ·  24.09.2026  ·  PMID 42851326</w:t>
      </w:r>
    </w:p>
    <w:p>
      <w:r>
        <w:t>Outbreak-Untersuchung von 13 XDR-Acinetobacter-baumannii-Stämmen (ST2) in libanesischer ICU mit molekularer Genotypisierung, die zwei nosokomial übertragene Cluster und Übertragungs-Potenzial nachweisen.</w:t>
      </w:r>
    </w:p>
    <w:p>
      <w:r>
        <w:rPr>
          <w:b/>
        </w:rPr>
        <w:t xml:space="preserve">Ergebnis: </w:t>
      </w:r>
      <w:r>
        <w:t>Alle Isolate blaOXA-23 chromosomal; 52 Genotypen und fünf Cluster identifiziert (vier auf einzelne Kliniken begrenzt, ein Cluster über sechs Kliniken). Größter Cluster mit iranischen, niederländischen und Sri-Lanka-Isolaten verwandt. SNP-Analyse bestätigt hohe Diskriminationsfähigkeit. Fortgesetzte Zirkulation trotz konventioneller Infektionsprävention zeigt erhöhtes Transmissionspotenzial dieser Linie.</w:t>
      </w:r>
    </w:p>
    <w:p>
      <w:r>
        <w:rPr>
          <w:b/>
          <w:sz w:val="19"/>
        </w:rPr>
        <w:t xml:space="preserve">Übertragbarkeit: </w:t>
      </w:r>
      <w:r>
        <w:rPr>
          <w:sz w:val="19"/>
        </w:rPr>
        <w:t>Libanon, aber Carbapenem-Resistenz-Management und ICU-Hygiene-Struktur in Deutschland hochrelevant</w:t>
      </w:r>
    </w:p>
    <w:p>
      <w:r>
        <w:rPr>
          <w:color w:val="5A7D3A"/>
          <w:sz w:val="18"/>
        </w:rPr>
        <w:t>https://pubmed.ncbi.nlm.nih.gov/42851326/</w:t>
      </w:r>
    </w:p>
    <w:p>
      <w:pPr>
        <w:pStyle w:val="Heading2"/>
      </w:pPr>
      <w:r>
        <w:t>Umleitung von Nicht-Notfall-Patienten aus der Notaufnahme in Hausarztpraxen ist sicher</w:t>
      </w:r>
    </w:p>
    <w:p>
      <w:r>
        <w:rPr>
          <w:i/>
          <w:color w:val="666666"/>
          <w:sz w:val="18"/>
        </w:rPr>
        <w:t>Alsulami W et al.  ·  Emerg Med Australas  ·  Okt. 2026  ·  PMID 42851122</w:t>
      </w:r>
    </w:p>
    <w:p>
      <w:r>
        <w:t>Scoping Review von neun Studien zur Sicherheit und Verfahrenskomponenten beim Umleiten von Nicht-Notfall-Patienten von Notaufnahmen in die Primärversorgung.</w:t>
      </w:r>
    </w:p>
    <w:p>
      <w:r>
        <w:rPr>
          <w:b/>
        </w:rPr>
        <w:t xml:space="preserve">Ergebnis: </w:t>
      </w:r>
      <w:r>
        <w:t>9,7% Rückkehrquote, 1,7% Hospitalisierungsrate, 0,07% Mortalität. Studien mit null Hospitalisierungen und Todesfällen implementierten mehrere Komponenten (Dokumentation Beschwerde, Registrierung, Vitalzeichen, Triage). Umleitung erscheint sicher und akzeptabel bei klaren Kriterien, Evidenz aber begrenzt.</w:t>
      </w:r>
    </w:p>
    <w:p>
      <w:r>
        <w:rPr>
          <w:b/>
          <w:sz w:val="19"/>
        </w:rPr>
        <w:t xml:space="preserve">Übertragbarkeit: </w:t>
      </w:r>
      <w:r>
        <w:rPr>
          <w:sz w:val="19"/>
        </w:rPr>
        <w:t>Australien und Vereinigtes Königreich, vergleichbare ED-Versorgungsstruktur und Patientensicherheitsansätze</w:t>
      </w:r>
    </w:p>
    <w:p>
      <w:r>
        <w:rPr>
          <w:color w:val="5A7D3A"/>
          <w:sz w:val="18"/>
        </w:rPr>
        <w:t>https://pubmed.ncbi.nlm.nih.gov/42851122/</w:t>
      </w:r>
    </w:p>
    <w:p>
      <w:pPr>
        <w:pStyle w:val="Heading1"/>
      </w:pPr>
      <w:r>
        <w:t>Aufgenommen am 10.10.2026</w:t>
      </w:r>
    </w:p>
    <w:p>
      <w:pPr>
        <w:pStyle w:val="Heading2"/>
      </w:pPr>
      <w:r>
        <w:t>Digitale Bestellsysteme senken Dokumentationsfehler bei Notfall-zu-ITS-Übergängen um 46 %</w:t>
      </w:r>
    </w:p>
    <w:p>
      <w:r>
        <w:rPr>
          <w:i/>
          <w:color w:val="666666"/>
          <w:sz w:val="18"/>
        </w:rPr>
        <w:t>Chien DK et al.  ·  JMIR Form Res  ·  09.10.2026  ·  PMID 42854259</w:t>
      </w:r>
    </w:p>
    <w:p>
      <w:r>
        <w:t>Retrospektive vergleichende Evaluierung eines aktualisierten digitalen Bestellsystems für Notfall-zu-Intensivmedizin-Aufnahmen (2023 vs. 2024) an einem Tertium-Zentrum in Taiwan.</w:t>
      </w:r>
    </w:p>
    <w:p>
      <w:r>
        <w:rPr>
          <w:b/>
        </w:rPr>
        <w:t xml:space="preserve">Ergebnis: </w:t>
      </w:r>
      <w:r>
        <w:t>Aktualisiertes System assoziiert mit höherer Bestellgültigkeit (54,1 % → 75,4 %; RR 1,39, KI 1,25–1,54, p &lt; 0,001), niedrigerer Fehlerquote (45,9 % → 24,6 %; RR 0,54, KI 0,44–0,66, p &lt; 0,001); doppelte und verlorene Aufträge sanken; ITS-Reservierungsalignment verbessert sich (Verhältnis 0,68 → 0,78, p = 0,03). Strukturierte, zeitstempel-gesteuerte Infrastruktur unterstützt zuverlässigere Hochrisiko-Workflows.</w:t>
      </w:r>
    </w:p>
    <w:p>
      <w:r>
        <w:rPr>
          <w:b/>
          <w:sz w:val="19"/>
        </w:rPr>
        <w:t xml:space="preserve">Übertragbarkeit: </w:t>
      </w:r>
      <w:r>
        <w:rPr>
          <w:sz w:val="19"/>
        </w:rPr>
        <w:t>Taiwan - Elektronische Order-Standardisierung übertragbar auf deutsches Kliniksetting mit vergleichbaren Workflows</w:t>
      </w:r>
    </w:p>
    <w:p>
      <w:r>
        <w:rPr>
          <w:color w:val="5A7D3A"/>
          <w:sz w:val="18"/>
        </w:rPr>
        <w:t>https://pubmed.ncbi.nlm.nih.gov/42854259/</w:t>
      </w:r>
    </w:p>
    <w:p>
      <w:pPr>
        <w:pStyle w:val="Heading2"/>
      </w:pPr>
      <w:r>
        <w:t>Nosokomialer Ausbruch durch kontaminierte Infusionslösungen: 16 Fälle in sieben deutschen Kliniken</w:t>
      </w:r>
    </w:p>
    <w:p>
      <w:r>
        <w:rPr>
          <w:i/>
          <w:color w:val="666666"/>
          <w:sz w:val="18"/>
        </w:rPr>
        <w:t>Burdi S et al.  ·  Euro Surveill  ·  Okt. 2026  ·  PMID 42852523</w:t>
      </w:r>
    </w:p>
    <w:p>
      <w:r>
        <w:t>Untersuchung eines Ausbruchs von Ralstonia mannitolilytica-Bacteriämien in deutschen Krankenhäusern von März bis September 2026, der auf kontaminierte vorgefüllte Kochsalzspritzen zurückgeführt wurde.</w:t>
      </w:r>
    </w:p>
    <w:p>
      <w:r>
        <w:rPr>
          <w:b/>
        </w:rPr>
        <w:t xml:space="preserve">Ergebnis: </w:t>
      </w:r>
      <w:r>
        <w:t>16 Fälle mit ≤6 Allel-Unterschieden in sieben Kliniken identifiziert; Produktions- und Verteilungsfehler eines Herstellers als Quelle bestätigt; Quarantäne und Nutzungsstopp des Produkts eingeleitet. Die Rückverfolgung zeigt, dass solche nosokomialen Ausbrüche auch durch systematische Beschaffungsfehler entstehen.</w:t>
      </w:r>
    </w:p>
    <w:p>
      <w:r>
        <w:rPr>
          <w:b/>
          <w:sz w:val="19"/>
        </w:rPr>
        <w:t xml:space="preserve">Übertragbarkeit: </w:t>
      </w:r>
      <w:r>
        <w:rPr>
          <w:sz w:val="19"/>
        </w:rPr>
        <w:t>Deutsche Klinikdaten, vergleichbare Hygienestandards und Meldepflichten nach IfSG</w:t>
      </w:r>
    </w:p>
    <w:p>
      <w:r>
        <w:rPr>
          <w:color w:val="5A7D3A"/>
          <w:sz w:val="18"/>
        </w:rPr>
        <w:t>https://pubmed.ncbi.nlm.nih.gov/42852523/</w:t>
      </w:r>
    </w:p>
    <w:p>
      <w:pPr>
        <w:pStyle w:val="Heading2"/>
      </w:pPr>
      <w:r>
        <w:t>NHS-Qualitätsstrategie vernachlässigt grundlegende Patientensicherheitsmaßnahmen</w:t>
      </w:r>
    </w:p>
    <w:p>
      <w:r>
        <w:rPr>
          <w:i/>
          <w:color w:val="666666"/>
          <w:sz w:val="18"/>
        </w:rPr>
        <w:t>Tingle J  ·  Br J Nurs  ·  08.10.2026  ·  PMID 42848698</w:t>
      </w:r>
    </w:p>
    <w:p>
      <w:r>
        <w:t>Analyse durch akademischen Rechtsexperten der aktuellen NHS-Qualitätsstrategie bezüglich Patientensicherheitspriorisierung und regulatorischer Überwachung.</w:t>
      </w:r>
    </w:p>
    <w:p>
      <w:r>
        <w:rPr>
          <w:b/>
        </w:rPr>
        <w:t xml:space="preserve">Ergebnis: </w:t>
      </w:r>
      <w:r>
        <w:t>Expertenmeinung identifiziert Lücken in der NHS-Strategie: Grundlegende Sicherheitsmaßnahmen werden übersehen; regulatorische Aufsicht und Dokumentation von Sicherheitsversprechen unzureichend. Kommentar hebt Misalignment zwischen strategischem Anspruch und operativer Realität hervor.</w:t>
      </w:r>
    </w:p>
    <w:p>
      <w:r>
        <w:rPr>
          <w:b/>
          <w:sz w:val="19"/>
        </w:rPr>
        <w:t xml:space="preserve">Übertragbarkeit: </w:t>
      </w:r>
      <w:r>
        <w:rPr>
          <w:sz w:val="19"/>
        </w:rPr>
        <w:t>Großbritannien (NHS) - Melde- und Haftungssystem unterscheidet sich von Deutschland durch andere Governance-Strukturen</w:t>
      </w:r>
    </w:p>
    <w:p>
      <w:r>
        <w:rPr>
          <w:color w:val="5A7D3A"/>
          <w:sz w:val="18"/>
        </w:rPr>
        <w:t>https://pubmed.ncbi.nlm.nih.gov/42848698/</w:t>
      </w:r>
    </w:p>
    <w:p>
      <w:pPr>
        <w:pStyle w:val="Heading2"/>
      </w:pPr>
      <w:r>
        <w:t>Haftungsrisiko und Spezialisierungswahl: Ärzte meiden "High-Risk"-Fachrichtungen</w:t>
      </w:r>
    </w:p>
    <w:p>
      <w:r>
        <w:rPr>
          <w:i/>
          <w:color w:val="666666"/>
          <w:sz w:val="18"/>
        </w:rPr>
        <w:t>Leśniak MW et al.  ·  Psychiatr Pol  ·  30.08.2026  ·  PMID 42848476</w:t>
      </w:r>
    </w:p>
    <w:p>
      <w:r>
        <w:t>Befragung polnischer Medizinstudierender (4.–6. Studienjahr) zur Wahrnehmung von Haftungsrisiken einzelner Fachrichtungen und deren Einfluss auf die Spezialisierungswahl.</w:t>
      </w:r>
    </w:p>
    <w:p>
      <w:r>
        <w:rPr>
          <w:b/>
        </w:rPr>
        <w:t xml:space="preserve">Ergebnis: </w:t>
      </w:r>
      <w:r>
        <w:t>Über 50 % schätzten ihr Wissen über medizinische Fehler und Stressmanagement als unzureichend ein; höhere Studienjahre und Frauen vermeiden chirurgische "High-Risk"-Fachrichtungen signifikant häufiger; ältere Studierende bewerteten ihr Wissen zu Medizinrecht und Stressmanagement besser. Studierenden betonen Bedarf für erweiterte Ausbildung in Fehlermanagement.</w:t>
      </w:r>
    </w:p>
    <w:p>
      <w:r>
        <w:rPr>
          <w:b/>
          <w:sz w:val="19"/>
        </w:rPr>
        <w:t xml:space="preserve">Übertragbarkeit: </w:t>
      </w:r>
      <w:r>
        <w:rPr>
          <w:sz w:val="19"/>
        </w:rPr>
        <w:t>Polen - Haftungssystem ähnlich Deutschland ohne kausale Entschädigung, aber Datenlage begrenzt</w:t>
      </w:r>
    </w:p>
    <w:p>
      <w:r>
        <w:rPr>
          <w:color w:val="5A7D3A"/>
          <w:sz w:val="18"/>
        </w:rPr>
        <w:t>https://pubmed.ncbi.nlm.nih.gov/42848476/</w:t>
      </w:r>
    </w:p>
    <w:p>
      <w:pPr>
        <w:pStyle w:val="Heading2"/>
      </w:pPr>
      <w:r>
        <w:t>Digitale Fragmentierung behindert Antibiotic Stewardship und Infektionserkennung im UK-NHS</w:t>
      </w:r>
    </w:p>
    <w:p>
      <w:r>
        <w:rPr>
          <w:i/>
          <w:color w:val="666666"/>
          <w:sz w:val="18"/>
        </w:rPr>
        <w:t>Schneider V et al.  ·  J Med Internet Res  ·  06.10.2026  ·  PMID 42837652</w:t>
      </w:r>
    </w:p>
    <w:p>
      <w:r>
        <w:t>Rapid Evidence Review zur digitalen Fragmentierung und ihrer Auswirkungen auf Antibiotic Stewardship im englischen Gesundheitssystem.</w:t>
      </w:r>
    </w:p>
    <w:p>
      <w:r>
        <w:rPr>
          <w:b/>
        </w:rPr>
        <w:t xml:space="preserve">Ergebnis: </w:t>
      </w:r>
      <w:r>
        <w:t>14 Studien eingeschlossen; Fragmentierung betrifft große Patientenpopulationen und ist verknüpft mit klinischer Ineffizienz, Qualitäts- und Sicherheitsrisiken (fehlende Krankenakten, doppelte Untersuchungen, Verzögerungen); nur 4 Studien spezifisch zu Antibiotic Stewardship, alle zeigten Workflow-Behinderungen und Kommunikationsstörungen. Nur 1 Studie beschrieb ein digitales Tool zur Abhilfe.</w:t>
      </w:r>
    </w:p>
    <w:p>
      <w:r>
        <w:rPr>
          <w:b/>
          <w:sz w:val="19"/>
        </w:rPr>
        <w:t xml:space="preserve">Übertragbarkeit: </w:t>
      </w:r>
      <w:r>
        <w:rPr>
          <w:sz w:val="19"/>
        </w:rPr>
        <w:t>Großbritannien - analog zu deutschen Fragmentierungsproblemen bei unzureichender Interoperabilität zwischen Sektoren</w:t>
      </w:r>
    </w:p>
    <w:p>
      <w:r>
        <w:rPr>
          <w:color w:val="5A7D3A"/>
          <w:sz w:val="18"/>
        </w:rPr>
        <w:t>https://pubmed.ncbi.nlm.nih.gov/42837652/</w:t>
      </w:r>
    </w:p>
    <w:p>
      <w:pPr>
        <w:pStyle w:val="Heading2"/>
      </w:pPr>
      <w:r>
        <w:t>Strukturiertes Risikomanagement in virtuellen Atemwegsversorgungsteams reduziert Versorgungsfehler</w:t>
      </w:r>
    </w:p>
    <w:p>
      <w:r>
        <w:rPr>
          <w:i/>
          <w:color w:val="666666"/>
          <w:sz w:val="18"/>
        </w:rPr>
        <w:t>Mariaki I et al.  ·  Br J Community Nurs  ·  02.10.2026  ·  PMID 42832408</w:t>
      </w:r>
    </w:p>
    <w:p>
      <w:r>
        <w:t>Entwicklung und Piloterprobung eines strukturierten Risk-Assessment-Rahmens für die Versorgung psychosozial komplexer Patienten in respiratorischen virtuellen Wards des NHS.</w:t>
      </w:r>
    </w:p>
    <w:p>
      <w:r>
        <w:rPr>
          <w:b/>
        </w:rPr>
        <w:t xml:space="preserve">Ergebnis: </w:t>
      </w:r>
      <w:r>
        <w:t>Nach Implementierung verbesserte sich die Konsistenz klinischer Entscheidungsfindung, multidisziplinäre Kommunikation und Dokumentation nachweislich; Mitarbeiterkompetenz stieg; Feasibility-Pilot mit sieben Patienten zeigte Machbarkeit in der Routinepraxis. Formale Evaluation ist geplant.</w:t>
      </w:r>
    </w:p>
    <w:p>
      <w:r>
        <w:rPr>
          <w:b/>
          <w:sz w:val="19"/>
        </w:rPr>
        <w:t xml:space="preserve">Übertragbarkeit: </w:t>
      </w:r>
      <w:r>
        <w:rPr>
          <w:sz w:val="19"/>
        </w:rPr>
        <w:t>NHS-England-Setting mit vergleichbarer Dezentralisierung von Akutversorgung in Gemeindekontext</w:t>
      </w:r>
    </w:p>
    <w:p>
      <w:r>
        <w:rPr>
          <w:color w:val="5A7D3A"/>
          <w:sz w:val="18"/>
        </w:rPr>
        <w:t>https://pubmed.ncbi.nlm.nih.gov/42832408/</w:t>
      </w:r>
    </w:p>
    <w:p>
      <w:pPr>
        <w:pStyle w:val="Heading1"/>
      </w:pPr>
      <w:r>
        <w:t>Aufgenommen am 09.10.2026</w:t>
      </w:r>
    </w:p>
    <w:p>
      <w:pPr>
        <w:pStyle w:val="Heading2"/>
      </w:pPr>
      <w:r>
        <w:t>Co-Design mit Sehbehinderten identifizierte drei Maßnahmen gegen Medikationsfehler in Apotheken</w:t>
      </w:r>
    </w:p>
    <w:p>
      <w:r>
        <w:rPr>
          <w:i/>
          <w:color w:val="666666"/>
          <w:sz w:val="18"/>
        </w:rPr>
        <w:t>Adeyemi I et al.  ·  Health Expect  ·  Okt. 2026  ·  PMID 42847501</w:t>
      </w:r>
    </w:p>
    <w:p>
      <w:r>
        <w:t>Nominale Gruppentechnik mit 7 sehbehinderten Personen und 6 Apothekenfachkräften zur Erkennung und Prävention von Medikationsfehlern in der Gemeinschaftsapotheke.</w:t>
      </w:r>
    </w:p>
    <w:p>
      <w:r>
        <w:rPr>
          <w:b/>
        </w:rPr>
        <w:t xml:space="preserve">Ergebnis: </w:t>
      </w:r>
      <w:r>
        <w:t>Teilnehmer identifizierten 12 Sicherheitsrisiken und 24 Lösungen; priorisiert wurden 3 Interventionen: (1) zugänglicher Patientensicherheitsleitfaden zur Kommunikation, (2) Schulungsvideo für Apotheker zum Verständnis von Sehbehindertenbedarfen, (3) EHR-Alerts/Pop-ups zur Identifikation dieser Patienten. Intervention wurde als praktisch und akzeptabel bewertet.</w:t>
      </w:r>
    </w:p>
    <w:p>
      <w:r>
        <w:rPr>
          <w:b/>
          <w:sz w:val="19"/>
        </w:rPr>
        <w:t xml:space="preserve">Übertragbarkeit: </w:t>
      </w:r>
      <w:r>
        <w:rPr>
          <w:sz w:val="19"/>
        </w:rPr>
        <w:t>UK-Studie, vergleichbar mit deutschem Gemeinschaftsapothekensystem</w:t>
      </w:r>
    </w:p>
    <w:p>
      <w:r>
        <w:rPr>
          <w:color w:val="5A7D3A"/>
          <w:sz w:val="18"/>
        </w:rPr>
        <w:t>https://pubmed.ncbi.nlm.nih.gov/42847501/</w:t>
      </w:r>
    </w:p>
    <w:p>
      <w:pPr>
        <w:pStyle w:val="Heading2"/>
      </w:pPr>
      <w:r>
        <w:t>Whistleblower-System reduzierte Arbeitsunfälle signifikant auf chinesischen Industriebetrieben</w:t>
      </w:r>
    </w:p>
    <w:p>
      <w:r>
        <w:rPr>
          <w:i/>
          <w:color w:val="666666"/>
          <w:sz w:val="18"/>
        </w:rPr>
        <w:t>Liu L et al.  ·  Front Public Health  ·  23.09.2026  ·  PMID 42846635</w:t>
      </w:r>
    </w:p>
    <w:p>
      <w:r>
        <w:t>Longitudinale Panelstudie an 266 börsennotierten Unternehmen mit 3086 Unternehmens-Jahr-Beobachtungen zu Auswirkung von internen Meldungssystemen auf Arbeitssicherheit und zwei zugrunde liegende Mechanismen.</w:t>
      </w:r>
    </w:p>
    <w:p>
      <w:r>
        <w:rPr>
          <w:b/>
        </w:rPr>
        <w:t xml:space="preserve">Ergebnis: </w:t>
      </w:r>
      <w:r>
        <w:t>Betriebe mit Whistleblower-System zeigten signifikante Reduktion von Arbeitsunfällen (Todesfällen und Sterblichkeitsraten). Effekt vermittelt durch zwei Pfade: Ressourcen-Pfad (erhöhte Sicherheitsinvestitionen) und Governance-Pfad (verbesserte interne Kontrolle). Effekt war in Ostchina ausgeprägter. Mediation-Analysen bestätigten beide Mechanismen.</w:t>
      </w:r>
    </w:p>
    <w:p>
      <w:r>
        <w:rPr>
          <w:b/>
          <w:sz w:val="19"/>
        </w:rPr>
        <w:t xml:space="preserve">Übertragbarkeit: </w:t>
      </w:r>
      <w:r>
        <w:rPr>
          <w:sz w:val="19"/>
        </w:rPr>
        <w:t>China, andere Betriebsstruktur; Konzept der internen Sicherheitskultur und Meldesysteme relevant für deutsches Arbeitsschutzsystem</w:t>
      </w:r>
    </w:p>
    <w:p>
      <w:r>
        <w:rPr>
          <w:color w:val="5A7D3A"/>
          <w:sz w:val="18"/>
        </w:rPr>
        <w:t>https://pubmed.ncbi.nlm.nih.gov/42846635/</w:t>
      </w:r>
    </w:p>
    <w:p>
      <w:pPr>
        <w:pStyle w:val="Heading2"/>
      </w:pPr>
      <w:r>
        <w:t>Audit-Feedback zu Patientenschäden senkte unnötige Antibiotika nach Herzimplantat um 84 Prozent</w:t>
      </w:r>
    </w:p>
    <w:p>
      <w:r>
        <w:rPr>
          <w:i/>
          <w:color w:val="666666"/>
          <w:sz w:val="18"/>
        </w:rPr>
        <w:t>Branch-Elliman W et al.  ·  Front Public Health  ·  23.09.2026  ·  PMID 42846419</w:t>
      </w:r>
    </w:p>
    <w:p>
      <w:r>
        <w:t>Quasi-experimentelle Studie an 11 US-VA-Kliniken zur Deimplementierung guideline-discordanter Antibiotikaprophylaxe nach Herzimplantat-Operationen mittels Audit-Feedback, lokaler Champions und Schulung.</w:t>
      </w:r>
    </w:p>
    <w:p>
      <w:r>
        <w:rPr>
          <w:b/>
        </w:rPr>
        <w:t xml:space="preserve">Ergebnis: </w:t>
      </w:r>
      <w:r>
        <w:t>Guideline-Noncompliance sank nach Intervention in Kliniken signifikant (OR 0,16, 95% CI 0,12–0,21), während Kontrollkliniken unverändert blieben. Kein Anstieg nosokomialer Infektionen (OR 0,96, 95% CI 0,48–1,93), Trend zur Reduktion kombinierter Antibiotikaschäden (OR 0,59, p=0,059); in 12-Monats-Nachbeobachtung signifikante Schadensreduktion (aOR 0,57, 95% CI 0,34–0,91, p=0,02). Verbesserungen wurden über 12 Monate aufrechterhalten.</w:t>
      </w:r>
    </w:p>
    <w:p>
      <w:r>
        <w:rPr>
          <w:b/>
          <w:sz w:val="19"/>
        </w:rPr>
        <w:t xml:space="preserve">Übertragbarkeit: </w:t>
      </w:r>
      <w:r>
        <w:rPr>
          <w:sz w:val="19"/>
        </w:rPr>
        <w:t>USA-VA-System mit anderer Finanzierung; Maßnahme (Audit-Feedback mit Benchmarking, Schulung) ist übertragbar</w:t>
      </w:r>
    </w:p>
    <w:p>
      <w:r>
        <w:rPr>
          <w:color w:val="5A7D3A"/>
          <w:sz w:val="18"/>
        </w:rPr>
        <w:t>https://pubmed.ncbi.nlm.nih.gov/42846419/</w:t>
      </w:r>
    </w:p>
    <w:p>
      <w:pPr>
        <w:pStyle w:val="Heading2"/>
      </w:pPr>
      <w:r>
        <w:t>88 Prozent unerwünschter Ereignisse nach ICU-Entlassung treten in ersten 48 Stunden auf</w:t>
      </w:r>
    </w:p>
    <w:p>
      <w:r>
        <w:rPr>
          <w:i/>
          <w:color w:val="666666"/>
          <w:sz w:val="18"/>
        </w:rPr>
        <w:t>Mahran GSK et al.  ·  Nurs Crit Care  ·  Nov. 2026  ·  PMID 42844803</w:t>
      </w:r>
    </w:p>
    <w:p>
      <w:r>
        <w:t>Prospektive Kohortenstudie an 207 Patienten beim Übergang von Intensivstation zur Normalstation an tertiatem Krankenhaus über 20 Monate zur Erfassung unerwünschter Ereignisse, deren Timing und Prädiktoren.</w:t>
      </w:r>
    </w:p>
    <w:p>
      <w:r>
        <w:rPr>
          <w:b/>
        </w:rPr>
        <w:t xml:space="preserve">Ergebnis: </w:t>
      </w:r>
      <w:r>
        <w:t>Unerwünschte Ereignisse bei 52/207 Patienten (25,1%): ICU-Readmission 46 (22,2%), nosokomiale Infektionen 29 (14,0%). 88% traten in den ersten 48 h auf (Tag 1: 56%, Tag 2: 32%). SWIFT-Score beste Vorhersagekraft (AUC 0,856). Fünf Risikofaktoren erklärten 88,5% der Ereignisse: Beatmung (OR 10,11), verlängerte ICU-Liegedauer (OR 6,40), Atemwegdiagnose (OR 4,99), &gt;3 invasive Geräte (OR 4,41), Komorbiditäten (OR 3,64).</w:t>
      </w:r>
    </w:p>
    <w:p>
      <w:r>
        <w:rPr>
          <w:b/>
          <w:sz w:val="19"/>
        </w:rPr>
        <w:t xml:space="preserve">Übertragbarkeit: </w:t>
      </w:r>
      <w:r>
        <w:rPr>
          <w:sz w:val="19"/>
        </w:rPr>
        <w:t>Mehrländer-Studie, generalisierbare Risikofaktoren für deutsches Patientenmonitoring</w:t>
      </w:r>
    </w:p>
    <w:p>
      <w:r>
        <w:rPr>
          <w:color w:val="5A7D3A"/>
          <w:sz w:val="18"/>
        </w:rPr>
        <w:t>https://pubmed.ncbi.nlm.nih.gov/42844803/</w:t>
      </w:r>
    </w:p>
    <w:p>
      <w:pPr>
        <w:pStyle w:val="Heading2"/>
      </w:pPr>
      <w:r>
        <w:t>Blutplättchen-Parameter am 7. Tag prägen Sepsis-Prognose und lenken Therapieintensität</w:t>
      </w:r>
    </w:p>
    <w:p>
      <w:r>
        <w:rPr>
          <w:i/>
          <w:color w:val="666666"/>
          <w:sz w:val="18"/>
        </w:rPr>
        <w:t>Niu J et al.  ·  J Int Med Res  ·  07.10.2026  ·  PMID 42844573</w:t>
      </w:r>
    </w:p>
    <w:p>
      <w:r>
        <w:t>Retrospektive Studie an 48 Sepsispatienten und 34 Infektionspatienten zur prognostischen Aussagekraft serieller Blutplättchen-Parameter (Thrombozytenzahl, Plateletcrit, mittleres Plättchenvolumen, Thrombozyten-Verteilungsbreite) über 7 Tage.</w:t>
      </w:r>
    </w:p>
    <w:p>
      <w:r>
        <w:rPr>
          <w:b/>
        </w:rPr>
        <w:t xml:space="preserve">Ergebnis: </w:t>
      </w:r>
      <w:r>
        <w:t>Thrombozyten und Plateletcrit am Tag 7 zeigten signifikante Unterschiede zwischen Überlebenden und Nicht-Überlebenden (beide p&lt;0,05). Thrombozytenzahl beste diagnostische Aussagekraft für Sepsis: AUC 0,864, Sensitivität 94,12%, Spezifität 73,47%. Negative Korrelation mit SOFA-Score (r=−0,657, p&lt;0,05). Dynamische Überwachung zum Tag 7 kann aggressive Behandlungsstrategien leiten.</w:t>
      </w:r>
    </w:p>
    <w:p>
      <w:r>
        <w:rPr>
          <w:b/>
          <w:sz w:val="19"/>
        </w:rPr>
        <w:t xml:space="preserve">Übertragbarkeit: </w:t>
      </w:r>
      <w:r>
        <w:rPr>
          <w:sz w:val="19"/>
        </w:rPr>
        <w:t>China, generalisierbare Biomarker-Messungen anwendbar auf deutsche Intensivmedizin</w:t>
      </w:r>
    </w:p>
    <w:p>
      <w:r>
        <w:rPr>
          <w:color w:val="5A7D3A"/>
          <w:sz w:val="18"/>
        </w:rPr>
        <w:t>https://pubmed.ncbi.nlm.nih.gov/42844573/</w:t>
      </w:r>
    </w:p>
    <w:p>
      <w:pPr>
        <w:pStyle w:val="Heading2"/>
      </w:pPr>
      <w:r>
        <w:t>Vergrabene K-Drähte in Kindertraumatologie: Infektionsrate 0,16 Prozent bei 634 Patienten</w:t>
      </w:r>
    </w:p>
    <w:p>
      <w:r>
        <w:rPr>
          <w:i/>
          <w:color w:val="666666"/>
          <w:sz w:val="18"/>
        </w:rPr>
        <w:t>Zimmermann A et al.  ·  Eur J Orthop Surg Traumatol  ·  06.10.2026  ·  PMID 42836880</w:t>
      </w:r>
    </w:p>
    <w:p>
      <w:r>
        <w:t>Retrospektive Kohortenstudie deutscher Level-I-Unfallklinik an 634 Kindern mit vergrabenen Kirschner-Drähten zur Frakturversorgung mit Verfolgung bis Drahtentfernung.</w:t>
      </w:r>
    </w:p>
    <w:p>
      <w:r>
        <w:rPr>
          <w:b/>
        </w:rPr>
        <w:t xml:space="preserve">Ergebnis: </w:t>
      </w:r>
      <w:r>
        <w:t>Von 634 Kindern (Mittelalt. 10,2±4,2 Jahre, 96,8% Obergliedmaßen) entwickelten nur 1 (0,16%, 95% CI 0,00–0,88%) oberflächliche Infektion, 0 Tiefeninfektionen/Osteomyelitis. Sekundäre Hautperforation ohne Infektion 8,36%, minimale Wundheilungsstörungen 0,32%. Alle Frakturen heilten radiographisch aus, 0 infektionsbedingte Reoperationen.</w:t>
      </w:r>
    </w:p>
    <w:p>
      <w:r>
        <w:rPr>
          <w:b/>
          <w:sz w:val="19"/>
        </w:rPr>
        <w:t xml:space="preserve">Übertragbarkeit: </w:t>
      </w:r>
      <w:r>
        <w:rPr>
          <w:sz w:val="19"/>
        </w:rPr>
        <w:t>Deutsche Daten (Universitätsklinik Bonn), direkt auf DACH-Praxis übertragbar</w:t>
      </w:r>
    </w:p>
    <w:p>
      <w:r>
        <w:rPr>
          <w:color w:val="5A7D3A"/>
          <w:sz w:val="18"/>
        </w:rPr>
        <w:t>https://pubmed.ncbi.nlm.nih.gov/42836880/</w:t>
      </w:r>
    </w:p>
    <w:p>
      <w:pPr>
        <w:pStyle w:val="Heading1"/>
      </w:pPr>
      <w:r>
        <w:t>Aufgenommen am 08.10.2026</w:t>
      </w:r>
    </w:p>
    <w:p>
      <w:pPr>
        <w:pStyle w:val="Heading2"/>
      </w:pPr>
      <w:r>
        <w:t>Dosierungsfehler bei Antibiotika in Brasilien: Watch- und Reserve-Klassen besonders betroffen</w:t>
      </w:r>
    </w:p>
    <w:p>
      <w:r>
        <w:rPr>
          <w:i/>
          <w:color w:val="666666"/>
          <w:sz w:val="18"/>
        </w:rPr>
        <w:t>Sandes V et al.  ·  Pharmacoepidemiol Drug Saf  ·  Okt. 2026  ·  PMID 42841341</w:t>
      </w:r>
    </w:p>
    <w:p>
      <w:r>
        <w:t>Analyse von 2587 Medikationsfehlern mit Antibiotika aus der brasilianischen Pharmacovigilance-Datenbank 2018-2025, klassifiziert nach WHO-AWaRe-Kategorien.</w:t>
      </w:r>
    </w:p>
    <w:p>
      <w:r>
        <w:rPr>
          <w:b/>
        </w:rPr>
        <w:t xml:space="preserve">Ergebnis: </w:t>
      </w:r>
      <w:r>
        <w:t>Dosierungsfehler (Auslassungen, falsche Frequenz) machten 31,7% aller Medikationsfehler aus; Neugeborene, Säuglinge und ältere Erwachsene waren überrepräsentiert (OR 3,90 / 1,78 / 1,70). Watch- und Reserve-Antibiotika zeigten höhere Dosierungsfehlerquoten als Access-Klasse (PR 1,14–1,31). Die meisten Fehler (51,4%) waren Dosisauslassungen, gefolgt von Regimenproblemen (16,7%).</w:t>
      </w:r>
    </w:p>
    <w:p>
      <w:r>
        <w:rPr>
          <w:b/>
          <w:sz w:val="19"/>
        </w:rPr>
        <w:t xml:space="preserve">Übertragbarkeit: </w:t>
      </w:r>
      <w:r>
        <w:rPr>
          <w:sz w:val="19"/>
        </w:rPr>
        <w:t>Brasilien, andere Sozialversicherungssysteme; Befund zur Risikogruppe aber universal übertragbar.</w:t>
      </w:r>
    </w:p>
    <w:p>
      <w:r>
        <w:rPr>
          <w:color w:val="5A7D3A"/>
          <w:sz w:val="18"/>
        </w:rPr>
        <w:t>https://pubmed.ncbi.nlm.nih.gov/42841341/</w:t>
      </w:r>
    </w:p>
    <w:p>
      <w:pPr>
        <w:pStyle w:val="Heading2"/>
      </w:pPr>
      <w:r>
        <w:t>Safety Culture als hierarchisches Modell: Struktur und Auswirkung auf Sicherheitsleistung</w:t>
      </w:r>
    </w:p>
    <w:p>
      <w:r>
        <w:rPr>
          <w:i/>
          <w:color w:val="666666"/>
          <w:sz w:val="18"/>
        </w:rPr>
        <w:t>Rahim H et al.  ·  Int Arch Occup Environ Health  ·  06.10.2026  ·  PMID 42839182</w:t>
      </w:r>
    </w:p>
    <w:p>
      <w:r>
        <w:t>Querschnittstudie mit 40 Sicherheitsfachleuten aus malaysischen Industrien (Öl/Gas, Fertigung, Bildung); Strukturgleichungsmodellierung (SEM) einer dreidimensionalen Safety-Culture-Struktur (psychologisch, verhaltensmäßig, situativ).</w:t>
      </w:r>
    </w:p>
    <w:p>
      <w:r>
        <w:rPr>
          <w:b/>
        </w:rPr>
        <w:t xml:space="preserve">Ergebnis: </w:t>
      </w:r>
      <w:r>
        <w:t>Psychologische Sicherheit (CR 0,84), Verhaltenssicherheit (CR 0,82) und situative Sicherheit (CR 0,86) bildeten ein validiertes Modell (AVE 0,55–0,60). Verhaltens- und situative Faktoren waren stärkere Treiber der Sicherheitsleistung als psychologische Faktoren. Master- und PhD-Träger sowie HSE-Aktive berichteten signifikant bessere Ergebnisse (β 0,10–0,12, p≤0,02).</w:t>
      </w:r>
    </w:p>
    <w:p>
      <w:r>
        <w:rPr>
          <w:b/>
          <w:sz w:val="19"/>
        </w:rPr>
        <w:t xml:space="preserve">Übertragbarkeit: </w:t>
      </w:r>
      <w:r>
        <w:rPr>
          <w:sz w:val="19"/>
        </w:rPr>
        <w:t>Malaysia, kulturelle/regulatorische Unterschiede; Struktur-Konzept der Safety Culture aber international anwendbar.</w:t>
      </w:r>
    </w:p>
    <w:p>
      <w:r>
        <w:rPr>
          <w:color w:val="5A7D3A"/>
          <w:sz w:val="18"/>
        </w:rPr>
        <w:t>https://pubmed.ncbi.nlm.nih.gov/42839182/</w:t>
      </w:r>
    </w:p>
    <w:p>
      <w:pPr>
        <w:pStyle w:val="Heading2"/>
      </w:pPr>
      <w:r>
        <w:t>HSE-Risikomanagement in Abfallumschlagplätzen: integriertes EFMEA-Fine-Kinney-SEM-Modell</w:t>
      </w:r>
    </w:p>
    <w:p>
      <w:r>
        <w:rPr>
          <w:i/>
          <w:color w:val="666666"/>
          <w:sz w:val="18"/>
        </w:rPr>
        <w:t>Phu STP et al.  ·  Int Arch Occup Environ Health  ·  06.10.2026  ·  PMID 42839115</w:t>
      </w:r>
    </w:p>
    <w:p>
      <w:r>
        <w:t>Fallstudie an zwei vietnamesischen Abfallumschlagplätzen mit 110 Mitarbeitern; Integration von Environmental-Failure-Mode-Analysis, Fine-Kinney-Methode und PLS-SEM zur Identifikation und Validierung von Gesundheits-, Sicherheits- und Umweltrisiken.</w:t>
      </w:r>
    </w:p>
    <w:p>
      <w:r>
        <w:rPr>
          <w:b/>
        </w:rPr>
        <w:t xml:space="preserve">Ergebnis: </w:t>
      </w:r>
      <w:r>
        <w:t>Umweltrisiken (EFMEA) überwiegend mittlere Kategorie (Gase, biologische Kontamination). Sicherheitsrisiken (Fine-Kinney) niedrig durch Training. Externe Faktoren (β=0,372), Recht/Regulierung (β=0,303) und Arbeitsumgebung (β=0,202) waren signifikante Prädiktoren der HSE-Adhärenz (t-Werte 2,3–4,7). Schlussfolgerung: Regulatorische Durchsetzung und Umgebungsverbesserung vorrangig.</w:t>
      </w:r>
    </w:p>
    <w:p>
      <w:r>
        <w:rPr>
          <w:b/>
          <w:sz w:val="19"/>
        </w:rPr>
        <w:t xml:space="preserve">Übertragbarkeit: </w:t>
      </w:r>
      <w:r>
        <w:rPr>
          <w:sz w:val="19"/>
        </w:rPr>
        <w:t>Vietnam, Entwicklungskontext; Framework aber für deutsche Abfallwirtschaft und Arbeitssicherheit adaptierbar.</w:t>
      </w:r>
    </w:p>
    <w:p>
      <w:r>
        <w:rPr>
          <w:color w:val="5A7D3A"/>
          <w:sz w:val="18"/>
        </w:rPr>
        <w:t>https://pubmed.ncbi.nlm.nih.gov/42839115/</w:t>
      </w:r>
    </w:p>
    <w:p>
      <w:pPr>
        <w:pStyle w:val="Heading2"/>
      </w:pPr>
      <w:r>
        <w:t>Automatische Endoskop-Aufbereitung: Vergleich von Desinfektionsverfahren in Routineklinik</w:t>
      </w:r>
    </w:p>
    <w:p>
      <w:r>
        <w:rPr>
          <w:i/>
          <w:color w:val="666666"/>
          <w:sz w:val="18"/>
        </w:rPr>
        <w:t>Kato M et al.  ·  PLoS One  ·  06.10.2026  ·  PMID 42837331</w:t>
      </w:r>
    </w:p>
    <w:p>
      <w:r>
        <w:t>Prospektive randomisierte Surveillance von 222 Endoskop-Einsätzen mit drei Aufbereitungsmethoden (stark sauer elektrolysiertes Wasser, Ozondwasser, Peressigsäure) unter Routinebedingungen an 74 Episoden je Verfahren.</w:t>
      </w:r>
    </w:p>
    <w:p>
      <w:r>
        <w:rPr>
          <w:b/>
        </w:rPr>
        <w:t xml:space="preserve">Ergebnis: </w:t>
      </w:r>
      <w:r>
        <w:t>Hygienesucces (≤20 KBE/Probe, keine Leitkeime): 90,5% (stark sauer elektrolysiert), 95,9% (Ozon), 95,9% (Peressigsäure). Risikodifferenzen gegenüber Peressigsäure: −5,4 Prozentpunkte (stark sauer) und 0,0 Prozentpunkte (Ozon). Post-hoc-Nicht-Unterlegenheit mit −10-Prozentpunkt-Marge nur für Ozon gestützt.</w:t>
      </w:r>
    </w:p>
    <w:p>
      <w:r>
        <w:rPr>
          <w:b/>
          <w:sz w:val="19"/>
        </w:rPr>
        <w:t xml:space="preserve">Übertragbarkeit: </w:t>
      </w:r>
      <w:r>
        <w:rPr>
          <w:sz w:val="19"/>
        </w:rPr>
        <w:t>Japan, Routinepraxis; universelles Problem der Endoskophygiene in vergleichbaren Gesundheitssystemen.</w:t>
      </w:r>
    </w:p>
    <w:p>
      <w:r>
        <w:rPr>
          <w:color w:val="5A7D3A"/>
          <w:sz w:val="18"/>
        </w:rPr>
        <w:t>https://pubmed.ncbi.nlm.nih.gov/42837331/</w:t>
      </w:r>
    </w:p>
    <w:p>
      <w:pPr>
        <w:pStyle w:val="Heading2"/>
      </w:pPr>
      <w:r>
        <w:t>Katheter-assoziierte Harnwegsinfektionen: 20-Jahres-Trend bei Präventionspraktiken in US-Kliniken</w:t>
      </w:r>
    </w:p>
    <w:p>
      <w:r>
        <w:rPr>
          <w:i/>
          <w:color w:val="666666"/>
          <w:sz w:val="18"/>
        </w:rPr>
        <w:t>Saint S et al.  ·  JAMA Netw Open  ·  01.10.2026  ·  PMID 42837154</w:t>
      </w:r>
    </w:p>
    <w:p>
      <w:r>
        <w:t>Wiederholte Querschnittsbefragungen von VA- und nichtfödalen US-Krankenhäusern (2005–2025) zur Adoption von CAUTI-Präventionsmaßnahmen.</w:t>
      </w:r>
    </w:p>
    <w:p>
      <w:r>
        <w:rPr>
          <w:b/>
        </w:rPr>
        <w:t xml:space="preserve">Ergebnis: </w:t>
      </w:r>
      <w:r>
        <w:t>Katheter-Reminder/Stop-Order stiegen in nichtfödalen Kliniken von 9,1% (2005) auf 48,7% (2025); Nurse-initiated-Diskontinuation von 11,3% (2009) auf 58,3% (2025). CAUTI-Überwachungssysteme nahezu universal (98,1–98,7%). VA-Kliniken zeigten langsamere Adoption. Externe Katheter stiegen deutlich, Silber-Foleys sanken markant.</w:t>
      </w:r>
    </w:p>
    <w:p>
      <w:r>
        <w:rPr>
          <w:b/>
          <w:sz w:val="19"/>
        </w:rPr>
        <w:t xml:space="preserve">Übertragbarkeit: </w:t>
      </w:r>
      <w:r>
        <w:rPr>
          <w:sz w:val="19"/>
        </w:rPr>
        <w:t>USA, unterschiedliche Finanzierung; Implementierungsprozesse und Adoptionsmuster aber instruktiv für Qualitätssteigerung.</w:t>
      </w:r>
    </w:p>
    <w:p>
      <w:r>
        <w:rPr>
          <w:color w:val="5A7D3A"/>
          <w:sz w:val="18"/>
        </w:rPr>
        <w:t>https://pubmed.ncbi.nlm.nih.gov/42837154/</w:t>
      </w:r>
    </w:p>
    <w:p>
      <w:pPr>
        <w:pStyle w:val="Heading2"/>
      </w:pPr>
      <w:r>
        <w:t>H3.1-Nukleosome als Biomarker für Nierenersatztherapie und Mortalität bei Sepsis</w:t>
      </w:r>
    </w:p>
    <w:p>
      <w:r>
        <w:rPr>
          <w:i/>
          <w:color w:val="666666"/>
          <w:sz w:val="18"/>
        </w:rPr>
        <w:t>Neumann C et al.  ·  Crit Care Med  ·  01.10.2026  ·  PMID 42545097</w:t>
      </w:r>
    </w:p>
    <w:p>
      <w:r>
        <w:t>Sekundäranalyse der SISPCT-Studie (971 Sepsis-Patienten, 33 deutsche ICUs 2009–2013) zu H3.1-Nukleosomen bei Aufnahme als Prädiktoren für RRT-Bedarf und 28-Tage-Mortalität.</w:t>
      </w:r>
    </w:p>
    <w:p>
      <w:r>
        <w:rPr>
          <w:b/>
        </w:rPr>
        <w:t xml:space="preserve">Ergebnis: </w:t>
      </w:r>
      <w:r>
        <w:t>H3.1-Level waren bei septischem Schock höher als bei Sepsis (921,84 vs. 432,71 ng/mL, p&lt;0,001). Ein log₁₀-Anstieg erhöhte 28-Tage-Mortalität um 48% (adj. HR 1,48; 95%-KI 1,07–2,04; p=0,02) und RRT-Risiko um 80% (adj. HR 1,8; 95%-KI 1,34–2,40; p&lt;0,001). Die Assoziation blieb nach Kontrolle für Laktat, Procalcitonin und CRP bestehen.</w:t>
      </w:r>
    </w:p>
    <w:p>
      <w:r>
        <w:rPr>
          <w:b/>
          <w:sz w:val="19"/>
        </w:rPr>
        <w:t xml:space="preserve">Übertragbarkeit: </w:t>
      </w:r>
      <w:r>
        <w:rPr>
          <w:sz w:val="19"/>
        </w:rPr>
        <w:t>Deutschland, deutsche Intensivdaten; biomarkergestütztes Risikomodell unmittelbar übertragbar.</w:t>
      </w:r>
    </w:p>
    <w:p>
      <w:r>
        <w:rPr>
          <w:color w:val="5A7D3A"/>
          <w:sz w:val="18"/>
        </w:rPr>
        <w:t>https://pubmed.ncbi.nlm.nih.gov/42545097/</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2026-10-28T06:00:00Z</dcterms:created>
  <dcterms:modified xsi:type="dcterms:W3CDTF">2026-10-28T06:00:00Z</dcterms:modified>
  <cp:category/>
</cp:coreProperties>
</file>