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01.09.2026  |  6 Studien  |  safety.m-vf.de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Probiotika halbierten ventilatorassoziierte Pneumonie bei kritisch kranken Kindern</w:t>
      </w:r>
    </w:p>
    <w:p>
      <w:r>
        <w:rPr>
          <w:i/>
          <w:color w:val="666666"/>
          <w:sz w:val="18"/>
        </w:rPr>
        <w:t>Tiwari SK et al.  ·  J Trop Pediatr  ·  20.08.2026  ·  PMID 42674774</w:t>
      </w:r>
    </w:p>
    <w:p>
      <w:r>
        <w:t>Systematische Übersicht und Metaanalyse von acht randomisierten Studien zu Probiotika bei kritisch kranken Kindern auf Intensivstationen, mit Fokus auf Pneumonie, Sterblichkeit und Liegedauer.</w:t>
      </w:r>
    </w:p>
    <w:p>
      <w:r>
        <w:rPr>
          <w:b/>
        </w:rPr>
        <w:t xml:space="preserve">Ergebnis: </w:t>
      </w:r>
      <w:r>
        <w:t>Probiotika reduzierten ventilatorassoziierte Pneumonie signifikant (RR 0,47; 95%-KI 0,35–0,64; p&lt;0,0001; hohe Evidenzsicherheit, absolute Risikoreduktion 21,9 %, Number needed to treat ≈5); kein Effekt auf Sterblichkeit (RR 0,85; 95%-KI 0,66–1,11; p=0,24) oder Liegedauer. Keine schwerwiegenden unerwünschten 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International, 744 Kinder in acht RCTs; Mechanismus und Sicherheit sind übertragbar</w:t>
      </w:r>
    </w:p>
    <w:p>
      <w:r>
        <w:rPr>
          <w:color w:val="5A7D3A"/>
          <w:sz w:val="18"/>
        </w:rPr>
        <w:t>https://pubmed.ncbi.nlm.nih.gov/42674774/</w:t>
      </w:r>
    </w:p>
    <w:p>
      <w:pPr>
        <w:pStyle w:val="Heading2"/>
      </w:pPr>
      <w:r>
        <w:t>Duty of Candour schafft Vertrauen nur bei echter Empathie und Aufarbeitung</w:t>
      </w:r>
    </w:p>
    <w:p>
      <w:r>
        <w:rPr>
          <w:i/>
          <w:color w:val="666666"/>
          <w:sz w:val="18"/>
        </w:rPr>
        <w:t>Adams C et al.  ·  Health Expect  ·  Okt. 2026  ·  PMID 42670882</w:t>
      </w:r>
    </w:p>
    <w:p>
      <w:r>
        <w:t>Qualitative und quantitative Studie mit 80 australischen Patienten zu Wirkung und Verständnis der gesetzlichen Aufklärungspflicht nach schweren Sicherheitsereignissen (Statutory Duty of Candour), zwei Jahre nach Einführung in Victoria.</w:t>
      </w:r>
    </w:p>
    <w:p>
      <w:r>
        <w:rPr>
          <w:b/>
        </w:rPr>
        <w:t xml:space="preserve">Ergebnis: </w:t>
      </w:r>
      <w:r>
        <w:t>61 % ohne Vorwissen zur SDC; 78 % bewerteten sie als nützlich. Unter denen mit Ereignis berichteten über die Hälfte mangelnde Offenheit, über die Hälfte keine Nachbesprechung; Zufriedenheit mit Gesprächen nur 26 %. Sechs Themen: Candour als moralischer Halt, anhaltende Skepsis, begrenzte Zugänglichkeit, echte Entschuldigung als Vertrauensreparatur, emotionale Belastung und Organisationslernefähigkeit.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Australien/Vereinigtes Königreich, andere Haftungsordnung, ggf. Transferlimits bei deutschem ärztlichem Haftungsrecht</w:t>
      </w:r>
    </w:p>
    <w:p>
      <w:r>
        <w:rPr>
          <w:color w:val="5A7D3A"/>
          <w:sz w:val="18"/>
        </w:rPr>
        <w:t>https://pubmed.ncbi.nlm.nih.gov/42670882/</w:t>
      </w:r>
    </w:p>
    <w:p>
      <w:pPr>
        <w:pStyle w:val="Heading2"/>
      </w:pPr>
      <w:r>
        <w:t>Urbanisierungsgerechte Risikoanpassung verbessert Reanimationsergebnisse deutschlandweit</w:t>
      </w:r>
    </w:p>
    <w:p>
      <w:r>
        <w:rPr>
          <w:i/>
          <w:color w:val="666666"/>
          <w:sz w:val="18"/>
        </w:rPr>
        <w:t>Lee D et al.  ·  BMC Emerg Med  ·  10.08.2026  ·  PMID 42587273</w:t>
      </w:r>
    </w:p>
    <w:p>
      <w:r>
        <w:t>Deutsche Registerstudie zur Kalibrierung von Risikoanpassungsmodellen für Rückkehr zur Spontanzirkulation (ROSC) nach präklinischem Herzstillstand, unter Berücksichtigung von Urbanisierungsgrad.</w:t>
      </w:r>
    </w:p>
    <w:p>
      <w:r>
        <w:rPr>
          <w:b/>
        </w:rPr>
        <w:t xml:space="preserve">Ergebnis: </w:t>
      </w:r>
      <w:r>
        <w:t>Beim refittierten RACA-Modell zeigte sich Fehlkalibrierung nach Urbanisierung: Überschätzung in ländlichen Gebieten, Unterschätzung in Metropolen und Großstädten. Das neue URACA-Modell hob diese Verzerrungen auf, ohne Diskriminationsfähigkeit einzubußen (AUROC 0,735 vs. 0,737; kontinuierliche Netzreklassifizierung 9,4 %).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145.780 Patienten aus Deutschem Reanimations-Register 2014–2023</w:t>
      </w:r>
    </w:p>
    <w:p>
      <w:r>
        <w:rPr>
          <w:color w:val="5A7D3A"/>
          <w:sz w:val="18"/>
        </w:rPr>
        <w:t>https://pubmed.ncbi.nlm.nih.gov/42587273/</w:t>
      </w:r>
    </w:p>
    <w:p>
      <w:pPr>
        <w:pStyle w:val="Heading2"/>
      </w:pPr>
      <w:r>
        <w:t>Patientenerfahrung und Sicherheit bleiben in Studien unverbunden</w:t>
      </w:r>
    </w:p>
    <w:p>
      <w:r>
        <w:rPr>
          <w:i/>
          <w:color w:val="666666"/>
          <w:sz w:val="18"/>
        </w:rPr>
        <w:t>King J et al.  ·  BMJ Open Qual  ·  03.08.2026  ·  PMID 42547244</w:t>
      </w:r>
    </w:p>
    <w:p>
      <w:r>
        <w:t>Systematische Übersicht über 30 Studien zum Zusammenhang zwischen Patientenerlebnis und Patientensicherheit, mit Cochrane-Qualitätsbewertung und GRADE-Evidenzgraduierung.</w:t>
      </w:r>
    </w:p>
    <w:p>
      <w:r>
        <w:rPr>
          <w:b/>
        </w:rPr>
        <w:t xml:space="preserve">Ergebnis: </w:t>
      </w:r>
      <w:r>
        <w:t>Heterogene Evidenz: 7 Studien zeigten konsistente positive Assoziationen, 6 keine Assoziation, 17 gemischte Befunde je nach Sicherheitsmaßstab. Kausale Richtung unklar; Forschungslücken in primärer und psychiatrischer Versorgung sowie zu Themen wie Zeitnaher Zugang und Angehörigenbeteiligung.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Perspektive, Primärforschung überwiegend aus angelsächsischen Ländern</w:t>
      </w:r>
    </w:p>
    <w:p>
      <w:r>
        <w:rPr>
          <w:color w:val="5A7D3A"/>
          <w:sz w:val="18"/>
        </w:rPr>
        <w:t>https://pubmed.ncbi.nlm.nih.gov/42547244/</w:t>
      </w:r>
    </w:p>
    <w:p>
      <w:pPr>
        <w:pStyle w:val="Heading2"/>
      </w:pPr>
      <w:r>
        <w:t>Ärztliche Mikrobiologie als Stewardship-Partner senkt Antibiotikafehlgebrauch</w:t>
      </w:r>
    </w:p>
    <w:p>
      <w:r>
        <w:rPr>
          <w:i/>
          <w:color w:val="666666"/>
          <w:sz w:val="18"/>
        </w:rPr>
        <w:t>Nilsen E  ·  APMIS  ·  Aug. 2026  ·  PMID 42522544</w:t>
      </w:r>
    </w:p>
    <w:p>
      <w:r>
        <w:t>Norwegische Klinikstudie zur Wahrnehmung ärztlicher Beratung durch klinische Mikrobiologinnen und Mikrobiologen in der Infektionsbehandlung.</w:t>
      </w:r>
    </w:p>
    <w:p>
      <w:r>
        <w:rPr>
          <w:b/>
        </w:rPr>
        <w:t xml:space="preserve">Ergebnis: </w:t>
      </w:r>
      <w:r>
        <w:t>90,7 % der infektionsbehandelnden Ärztinnen und Ärzte (n=228) bewerteten mikrobiologe Stewardship als hochgradig wertvoll; 88,8 % berichteten bessere Antibiotikaverwendung, 87,0 % schnellere oder sicherere klinische Entscheidungen; 97,7 % befürworteten eine aktivere klinische Beratungsrolle von Fachärztinnen und Fachärzten für Mikrobiologie.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Infektionsbehandlung in Akutkrankenhäusern</w:t>
      </w:r>
    </w:p>
    <w:p>
      <w:r>
        <w:rPr>
          <w:color w:val="5A7D3A"/>
          <w:sz w:val="18"/>
        </w:rPr>
        <w:t>https://pubmed.ncbi.nlm.nih.gov/42522544/</w:t>
      </w:r>
    </w:p>
    <w:p>
      <w:pPr>
        <w:pStyle w:val="Heading2"/>
      </w:pPr>
      <w:r>
        <w:t>Schülerfehler im klinischen Unterricht: häufige Gelegenheiten mit geringem Lernertrag</w:t>
      </w:r>
    </w:p>
    <w:p>
      <w:r>
        <w:rPr>
          <w:i/>
          <w:color w:val="666666"/>
          <w:sz w:val="18"/>
        </w:rPr>
        <w:t>Rubisch HPK et al.  ·  BMC Med Educ  ·  28.07.2026  ·  PMID 42522036</w:t>
      </w:r>
    </w:p>
    <w:p>
      <w:r>
        <w:t>Beobachtungsstudie zu Lernfehlern bei Bettunterricht auf Stationen in Innerer Medizin, Neurologie und Orthopädie, gemessen an Häufigkeit, Typ und Lehrreaktionen.</w:t>
      </w:r>
    </w:p>
    <w:p>
      <w:r>
        <w:rPr>
          <w:b/>
        </w:rPr>
        <w:t xml:space="preserve">Ergebnis: </w:t>
      </w:r>
      <w:r>
        <w:t>Im Schnitt 4,9 Fehler pro Stunde Unterricht; Reproduktionsfehler überwiegend bei theoretischem Wissen und klinischem Denken, Anwendungsfehler bei körperlicher Untersuchung. Nur 72 % der praktischen Untersuchungszeit war beaufsichtigt; Lehrreaktionen (Erklärungstiefe, Feedback-Direktheit) unterschieden sich nicht signifikant mit oder ohne Patientenpräsenz.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36 Bettunterricht-Sitzungen (78,4 h) an deutschem Universitätsklinikum</w:t>
      </w:r>
    </w:p>
    <w:p>
      <w:r>
        <w:rPr>
          <w:color w:val="5A7D3A"/>
          <w:sz w:val="18"/>
        </w:rPr>
        <w:t>https://pubmed.ncbi.nlm.nih.gov/42522036/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