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04.10.2026  |  6 Studien  |  safety.m-vf.de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Frühe Multimodaltherapie mit drei Vasopressoren senkt Laktat und verbessert Organfunktion bei Septischem Schock</w:t>
      </w:r>
    </w:p>
    <w:p>
      <w:r>
        <w:rPr>
          <w:i/>
          <w:color w:val="666666"/>
          <w:sz w:val="18"/>
        </w:rPr>
        <w:t>Kalamar Ž et al.  ·  Crit Care  ·  07.09.2026  ·  PMID 42827265</w:t>
      </w:r>
    </w:p>
    <w:p>
      <w:r>
        <w:t>Randomisierte Phase-II-Studie (TRICYCLE) mit 79 Patienten in Intensivstationen; Vergleich früher Gabe von Angiotensin II, Vasopressin und Noradrenalin (Interventionsgruppe) gegen schrittweise Eskalation (Kontrolle) bei septischem Schock.</w:t>
      </w:r>
    </w:p>
    <w:p>
      <w:r>
        <w:rPr>
          <w:b/>
        </w:rPr>
        <w:t xml:space="preserve">Ergebnis: </w:t>
      </w:r>
      <w:r>
        <w:t>Schnellerer Rückgang Plasma-Renin 2,61 %/h vs. 1,67 %/h (p=0,015), Laktat 1,53 %/h vs. 1,01 %/h (p=0,006) in den ersten 72 h. SOFA-Score Reduktion: −3 Punkte vs. 0 (p=0,018). Tachyarrhythmien signifikant seltener (15,6 % vs. 68,6 %, p&lt;0,01). ICU-Mortalität 26,3 % vs. 41,5 %, 28-Tage-Mortalität 36,8 % vs. 46,3 % (keine Signifikanz). Physiologische Marker verbessert, klinische Mortalität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Slowenien und Kroatien, vergleichbare Intensivmedizin; Behandlungsbündel-Ansatz übertragbar</w:t>
      </w:r>
    </w:p>
    <w:p>
      <w:r>
        <w:rPr>
          <w:color w:val="5A7D3A"/>
          <w:sz w:val="18"/>
        </w:rPr>
        <w:t>https://pubmed.ncbi.nlm.nih.gov/42827265/</w:t>
      </w:r>
    </w:p>
    <w:p>
      <w:pPr>
        <w:pStyle w:val="Heading2"/>
      </w:pPr>
      <w:r>
        <w:t>Immunreaktionen unter Checkpoint-Inhibitoren vorhersagen Überlebensvorteil unabhängig vom Alter</w:t>
      </w:r>
    </w:p>
    <w:p>
      <w:r>
        <w:rPr>
          <w:i/>
          <w:color w:val="666666"/>
          <w:sz w:val="18"/>
        </w:rPr>
        <w:t>Agbarya A et al.  ·  Front Immunol  ·  17.09.2026  ·  PMID 42824450</w:t>
      </w:r>
    </w:p>
    <w:p>
      <w:r>
        <w:t>Retrospektive multizentrische Studie mit 452 älteren und jüngeren Patienten mit metastasiertem nicht-kleinzelligem Lungenkarzinom unter Checkpoint-Inhibitoren; Analyse, ob Immunnebenwirkungen (irAEs) mit Progression Free und Overall Survival korrelieren.</w:t>
      </w:r>
    </w:p>
    <w:p>
      <w:r>
        <w:rPr>
          <w:b/>
        </w:rPr>
        <w:t xml:space="preserve">Ergebnis: </w:t>
      </w:r>
      <w:r>
        <w:t>344 Patienten &lt;75 Jahre, 108 ≥75 Jahre. Patienten ≥75 Jahre häufiger &gt;2 verschiedene irAE-Typen. Median PFS 12,0 und OS 15,0 Monate gesamt; OS signifikant kürzer in Gruppe ≥75 Jahren (p=0,008). Auftreten irAEs assoziiert mit verbesserter PFS und OS in beiden Altersgruppen; höhere irAE-Last (&gt;2 Typen) numerisch länger mit Überleben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Israel, prospektives Design; Immunverträglichkeit als Prognosemarker übertragbar</w:t>
      </w:r>
    </w:p>
    <w:p>
      <w:r>
        <w:rPr>
          <w:color w:val="5A7D3A"/>
          <w:sz w:val="18"/>
        </w:rPr>
        <w:t>https://pubmed.ncbi.nlm.nih.gov/42824450/</w:t>
      </w:r>
    </w:p>
    <w:p>
      <w:pPr>
        <w:pStyle w:val="Heading2"/>
      </w:pPr>
      <w:r>
        <w:t>Impffehlquoten durch Arbeitsüberlastung und prekäre Bedingungen in Primärversorgung</w:t>
      </w:r>
    </w:p>
    <w:p>
      <w:r>
        <w:rPr>
          <w:i/>
          <w:color w:val="666666"/>
          <w:sz w:val="18"/>
        </w:rPr>
        <w:t>Cirino FMSB et al.  ·  Rev Bras Enferm  ·  28.09.2026  ·  PMID 42820566</w:t>
      </w:r>
    </w:p>
    <w:p>
      <w:r>
        <w:t>Reflexive brasilianische Studie über Impffehlquoten in der Grundversorgung; kritische Analyse der Arbeitsbedingungen von Pflegefachpersonen und organisatorischer Faktoren jenseits individueller Verantwortung.</w:t>
      </w:r>
    </w:p>
    <w:p>
      <w:r>
        <w:rPr>
          <w:b/>
        </w:rPr>
        <w:t xml:space="preserve">Ergebnis: </w:t>
      </w:r>
      <w:r>
        <w:t>Impffehlquoten nicht auf technische oder individuelle Fehler reduzierbar, sondern Ausdruck von Burnout durch prekäre Arbeitsbedingungen, Überarbeitung und ungleicher Ressourcenverteilung. Systemischer Ansatz erforderlich: Stärkung von Autonomie, würdige Arbeitsbedingungen und kritische Reflexionsräume für Sicherheitskultur.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Arbeitsschutz und Fehlerkultur in Primärversorgung prinzipiell übertragbar</w:t>
      </w:r>
    </w:p>
    <w:p>
      <w:r>
        <w:rPr>
          <w:color w:val="5A7D3A"/>
          <w:sz w:val="18"/>
        </w:rPr>
        <w:t>https://pubmed.ncbi.nlm.nih.gov/42820566/</w:t>
      </w:r>
    </w:p>
    <w:p>
      <w:pPr>
        <w:pStyle w:val="Heading2"/>
      </w:pPr>
      <w:r>
        <w:t>Zellfreie DNA und HLA-DR vorhersagen Sepsis-Mortalität besser als Standardscores</w:t>
      </w:r>
    </w:p>
    <w:p>
      <w:r>
        <w:rPr>
          <w:i/>
          <w:color w:val="666666"/>
          <w:sz w:val="18"/>
        </w:rPr>
        <w:t>Peng X et al.  ·  J Int Med Res  ·  30.09.2026  ·  PMID 42816759</w:t>
      </w:r>
    </w:p>
    <w:p>
      <w:r>
        <w:t>Prospektive chinesische Kohortenstudie mit 307 Sepsispatienten auf Intensivstationen; Messung von zellfreier DNA und monozyten-HLA-DR-Expression in den ersten 24 h und Vorhersagekraft für 28-Tage-Mortalität gegenüber etablierten Scores.</w:t>
      </w:r>
    </w:p>
    <w:p>
      <w:r>
        <w:rPr>
          <w:b/>
        </w:rPr>
        <w:t xml:space="preserve">Ergebnis: </w:t>
      </w:r>
      <w:r>
        <w:t>89 von 307 Patienten starben (28,99 %). Höhere zellfreie DNA und niedrigere mHLA-DR bei Verstorbenen. Kombiniertes Biomarker-Modell erhöhte AUC von 0,79 auf 0,88 (gegenüber klinischem Basis-Modell). Net Reclassification Improvement und Integrated Discrimination Improvement signifikant positiv. Interne Validierung bestätigt. Externe Validierung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prospektives Design; Biomarkerkombinatoren für Risikostratifikation übertragbar</w:t>
      </w:r>
    </w:p>
    <w:p>
      <w:r>
        <w:rPr>
          <w:color w:val="5A7D3A"/>
          <w:sz w:val="18"/>
        </w:rPr>
        <w:t>https://pubmed.ncbi.nlm.nih.gov/42816759/</w:t>
      </w:r>
    </w:p>
    <w:p>
      <w:pPr>
        <w:pStyle w:val="Heading2"/>
      </w:pPr>
      <w:r>
        <w:t>Angemessene Antibiotikaauswahl reduziert unerwünschte Ereignisse bei COPD-Exazerbation um 41 %</w:t>
      </w:r>
    </w:p>
    <w:p>
      <w:r>
        <w:rPr>
          <w:i/>
          <w:color w:val="666666"/>
          <w:sz w:val="18"/>
        </w:rPr>
        <w:t>Perales-Muñoz R et al.  ·  Rev Esp Quimioter  ·  21.09.2026  ·  PMID 42768888</w:t>
      </w:r>
    </w:p>
    <w:p>
      <w:r>
        <w:t>Spanische Multizenterstudie an 4.136 Patienten mit akuter COPD-Exazerbation in Notfallaufnahmen; Auswertung, ob die Wahl des Antibiotikums nach nationalen Leitlinien mit 30-Tage-Ergebnissen (Rückfall, Wiederaufnahme, Tod) assoziiert ist.</w:t>
      </w:r>
    </w:p>
    <w:p>
      <w:r>
        <w:rPr>
          <w:b/>
        </w:rPr>
        <w:t xml:space="preserve">Ergebnis: </w:t>
      </w:r>
      <w:r>
        <w:t>56,9 % der aus der Notaufnahme entlassenen Patienten erhielten Antibiotika, 16,0 % inadäquat. Unerwünschte Ereignisse bei inadäquater Therapie 20,9 % vs. 13,3 % (p=0,019); adjustierte Risikoreduktion durch angemessene Auswahl: RR 0,59 (95%-CI 0,41–0,85, p=0,004). Einziger beeinflussbarer Faktor mit unabhängiger Schutzwirkung.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 Notaufnahmesysteme; Leitlinienkonformität als Qualitätsindikator übertragbar</w:t>
      </w:r>
    </w:p>
    <w:p>
      <w:r>
        <w:rPr>
          <w:color w:val="5A7D3A"/>
          <w:sz w:val="18"/>
        </w:rPr>
        <w:t>https://pubmed.ncbi.nlm.nih.gov/42768888/</w:t>
      </w:r>
    </w:p>
    <w:p>
      <w:pPr>
        <w:pStyle w:val="Heading2"/>
      </w:pPr>
      <w:r>
        <w:t>Serratia-Bakteriämie: Stabile Inzidenz, 24 % Mortalität, Wirtsmerkmale bestimmen Ausgang</w:t>
      </w:r>
    </w:p>
    <w:p>
      <w:r>
        <w:rPr>
          <w:i/>
          <w:color w:val="666666"/>
          <w:sz w:val="18"/>
        </w:rPr>
        <w:t>Thiele IM et al.  ·  APMIS  ·  Aug. 2026  ·  PMID 42635016</w:t>
      </w:r>
    </w:p>
    <w:p>
      <w:r>
        <w:t>Populationsbasierte dänische Kohortenstudie (2010–2024) mit 188 Patienten mit Serratia-Bakteriämie; Erfassung klinischer Charakteristika, Infektfokus und 30-Tage-Mortalität nach Art der Akquisition (ambulant, healthcare-assoziiert, nosokomial).</w:t>
      </w:r>
    </w:p>
    <w:p>
      <w:r>
        <w:rPr>
          <w:b/>
        </w:rPr>
        <w:t xml:space="preserve">Ergebnis: </w:t>
      </w:r>
      <w:r>
        <w:t>Stabile jährliche Inzidenz 2,1/100.000 Personenjahre (95%-CI 1,8–2,5). Gemeinschaftserworben 38 %, nosokomial 37 %, Fokus Harnweg 25 %, Gallenwege 20 %, keine Fokusidentifikation 28 %. 30-Tage-Mortalität 24 %. Höheres Alter (RR 1,02 pro Jahr) und hoher Comorbidity-Index (RR 2,58, 95%-CI 1,01–6,63) mit erhöhter Mortalität assoziiert; Akquisitionsart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Meldepflicht und Entschädigung ohne Verschuldensnachweis; Epidemiologie nicht direkt mit Deutschland vergleichbar</w:t>
      </w:r>
    </w:p>
    <w:p>
      <w:r>
        <w:rPr>
          <w:color w:val="5A7D3A"/>
          <w:sz w:val="18"/>
        </w:rPr>
        <w:t>https://pubmed.ncbi.nlm.nih.gov/42635016/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