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17.09.2026  |  6 Studien  |  safety.m-vf.de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Nachhaltige Schutzausrüstung reduziert Carbon-Footprint ohne Infektionsrisiko</w:t>
      </w:r>
    </w:p>
    <w:p>
      <w:r>
        <w:rPr>
          <w:i/>
          <w:color w:val="666666"/>
          <w:sz w:val="18"/>
        </w:rPr>
        <w:t>Slyne H  ·  Br J Nurs  ·  17.09.2026  ·  PMID 42748025</w:t>
      </w:r>
    </w:p>
    <w:p>
      <w:r>
        <w:t>Übersichtsarbeit der Infection Prevention and Control Abteilung eines britischen Universitätskrankenhauses zu erfolgreichen Implementierungen nachhaltiger Persönlicher Schutzausrüstung (Handschuhe, Schürzen, Isolation Gowns, Masken).</w:t>
      </w:r>
    </w:p>
    <w:p>
      <w:r>
        <w:rPr>
          <w:b/>
        </w:rPr>
        <w:t xml:space="preserve">Ergebnis: </w:t>
      </w:r>
      <w:r>
        <w:t>Studienübersicht zeigt Kosteneinsparungen, CO₂-Reduktionen und verbesserte Mitarbeiter-Zufriedenheit sowie Hautgesundheit ohne nachteilige Auswirkungen auf nosokomiale Infektionen. Handschuh-Übernutzung identifiziert als größter Carbon-Hotspot im Gesundheitswesen.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vergleichbare PPE-Standards und Dokumentationspflichten</w:t>
      </w:r>
    </w:p>
    <w:p>
      <w:r>
        <w:rPr>
          <w:color w:val="5A7D3A"/>
          <w:sz w:val="18"/>
        </w:rPr>
        <w:t>https://pubmed.ncbi.nlm.nih.gov/42748025/</w:t>
      </w:r>
    </w:p>
    <w:p>
      <w:pPr>
        <w:pStyle w:val="Heading2"/>
      </w:pPr>
      <w:r>
        <w:t>Perioperative Hypersensibilität im Kindesalter: Qualitative Analyse französischer Allergie-Kohorten</w:t>
      </w:r>
    </w:p>
    <w:p>
      <w:r>
        <w:rPr>
          <w:i/>
          <w:color w:val="666666"/>
          <w:sz w:val="18"/>
        </w:rPr>
        <w:t>Michel MP et al.  ·  Pediatr Allergy Immunol  ·  Sept. 2026  ·  PMID 42747994</w:t>
      </w:r>
    </w:p>
    <w:p>
      <w:r>
        <w:t>Analyse von 4.605 perioperativen Hypersensibilitätsreaktionen (461 Fälle bei Kindern &lt;18 Jahren) aus französischem GERAP-Netzwerk über drei Dekaden (1997–2024) mit Allergen-Identifikation und Schweregraduierung.</w:t>
      </w:r>
    </w:p>
    <w:p>
      <w:r>
        <w:rPr>
          <w:b/>
        </w:rPr>
        <w:t xml:space="preserve">Ergebnis: </w:t>
      </w:r>
      <w:r>
        <w:t>Kausales Allergen in 43% der Fälle identifiziert (Neuromuscular-Blocking-Agents 31%, Latex 30%, Antibiotika 16%). Reaktionen mit Allergen-ID waren signifikant schwerer (Grad 3–4: 46% vs. 13%; p &lt; 0,001) mit höherer Tryptase (Median 16,0 vs. 4,0 μg/L; p &lt; 0,001). Latex-Reaktionen verschwanden nach 2017.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hochgradig vergleichbar; europäischer Standard für Allergie-Registrierung und Perioperativ-Management</w:t>
      </w:r>
    </w:p>
    <w:p>
      <w:r>
        <w:rPr>
          <w:color w:val="5A7D3A"/>
          <w:sz w:val="18"/>
        </w:rPr>
        <w:t>https://pubmed.ncbi.nlm.nih.gov/42747994/</w:t>
      </w:r>
    </w:p>
    <w:p>
      <w:pPr>
        <w:pStyle w:val="Heading2"/>
      </w:pPr>
      <w:r>
        <w:t>Cefazolin mindestens gleichwertig zu Flucloxacillin bei Staphylococcus-aureus-Bakteriämie</w:t>
      </w:r>
    </w:p>
    <w:p>
      <w:r>
        <w:rPr>
          <w:i/>
          <w:color w:val="666666"/>
          <w:sz w:val="18"/>
        </w:rPr>
        <w:t>Jager NGL et al.  ·  Ned Tijdschr Geneeskd  ·  16.09.2026  ·  PMID 42747445</w:t>
      </w:r>
    </w:p>
    <w:p>
      <w:r>
        <w:t>Die internationale adaptive Plattformstudie SNAP verglich Cefazolin mit (Flu-)Cloxacillin bei Erwachsenen mit Methicillin-empfindlicher S.-aureus-Bakteriämie.</w:t>
      </w:r>
    </w:p>
    <w:p>
      <w:r>
        <w:rPr>
          <w:b/>
        </w:rPr>
        <w:t xml:space="preserve">Ergebnis: </w:t>
      </w:r>
      <w:r>
        <w:t>90-Tage-Mortalität 15,0% mit Cefazolin versus 17,0% mit (Flu-)Cloxacillin (aOR 0,81; 95%-KrI 0,59–1,12; Nicht-Unterlegenheitswahrscheinlichkeit 99,2%). Akutes Nierenschädigungsrisiko war bei Cefazolin signifikant niedriger (13,9% vs. 19,6%; aOR 0,67; 95%-KrI 0,50–0,89).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 und ärztliches Handeln</w:t>
      </w:r>
    </w:p>
    <w:p>
      <w:r>
        <w:rPr>
          <w:color w:val="5A7D3A"/>
          <w:sz w:val="18"/>
        </w:rPr>
        <w:t>https://pubmed.ncbi.nlm.nih.gov/42747445/</w:t>
      </w:r>
    </w:p>
    <w:p>
      <w:pPr>
        <w:pStyle w:val="Heading2"/>
      </w:pPr>
      <w:r>
        <w:t>Opioid-Allergien-Labeling bewirkt unnötige Ausgrenzung sicherer Analgetika</w:t>
      </w:r>
    </w:p>
    <w:p>
      <w:r>
        <w:rPr>
          <w:i/>
          <w:color w:val="666666"/>
          <w:sz w:val="18"/>
        </w:rPr>
        <w:t>Eiset AH et al.  ·  Basic Clin Pharmacol Toxicol  ·  Okt. 2026  ·  PMID 42746690</w:t>
      </w:r>
    </w:p>
    <w:p>
      <w:r>
        <w:t>Audit von 14.661 Opioid-Allergieregistrierungen in elektronischen Patientenakten von sechs dänischen Krankenhäusern (2020–2023) validierte Text-Mining-Algorithmen zur Unterscheidung wahrer Überempfindlichkeit von normalen Nebenwirkungen.</w:t>
      </w:r>
    </w:p>
    <w:p>
      <w:r>
        <w:rPr>
          <w:b/>
        </w:rPr>
        <w:t xml:space="preserve">Ergebnis: </w:t>
      </w:r>
      <w:r>
        <w:t>Nur 19% (n = 2.710) der Registrierungen entsprachen einer wahrscheinlichen Allergie, überwiegend Hautausschlag oder Pruritus (71%). 33% der Patienten mit registrierter Allergie erhielten später sicher das gleiche Opioid; das Label ist ein sehr schwacher Prädiktor für echte Hypersensibilität.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mit Fehlermeldesystem ohne Verschuldensnachweis – Übertragung auf Arzthaftungs-Systeme mit Beweislast limitiert</w:t>
      </w:r>
    </w:p>
    <w:p>
      <w:r>
        <w:rPr>
          <w:color w:val="5A7D3A"/>
          <w:sz w:val="18"/>
        </w:rPr>
        <w:t>https://pubmed.ncbi.nlm.nih.gov/42746690/</w:t>
      </w:r>
    </w:p>
    <w:p>
      <w:pPr>
        <w:pStyle w:val="Heading2"/>
      </w:pPr>
      <w:r>
        <w:t>Falsch dokumentierte Penicillin-Allergie erhöht Infektionsrisiko bei Leberzirrhose-Patienten</w:t>
      </w:r>
    </w:p>
    <w:p>
      <w:r>
        <w:rPr>
          <w:i/>
          <w:color w:val="666666"/>
          <w:sz w:val="18"/>
        </w:rPr>
        <w:t>Danpanichkul P et al.  ·  Alcohol Clin Exp Res (Hoboken)  ·  Sept. 2026  ·  PMID 42745200</w:t>
      </w:r>
    </w:p>
    <w:p>
      <w:r>
        <w:t>Kohortenstudie mit Propensity-Score-Matching (n = 2.388) untersuchte die Auswirkung dokumentierter Penicillin-Allergie-Labels auf Infektionsraten bei Patienten mit alkoholischer Leberzirrhose in den USA.</w:t>
      </w:r>
    </w:p>
    <w:p>
      <w:r>
        <w:rPr>
          <w:b/>
        </w:rPr>
        <w:t xml:space="preserve">Ergebnis: </w:t>
      </w:r>
      <w:r>
        <w:t>Penicillin-Allergie-Label assoziiert mit erhöhtem Sepsis-Risiko (11,4% vs. 6,4%; HR 1,53; 95%-KI 1,16–2,02), Pneumonie (8,7% vs. 5,0%; HR 1,49), Harnwegsinfekt (11,7% vs. 6,6%; HR 1,55) und Alkoholhepatitis (19,0% vs. 13,5%; HR 1,27).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begrenzte Übertragbarkeit auf deutsche Dokumentations- und Haftungspraxis</w:t>
      </w:r>
    </w:p>
    <w:p>
      <w:r>
        <w:rPr>
          <w:color w:val="5A7D3A"/>
          <w:sz w:val="18"/>
        </w:rPr>
        <w:t>https://pubmed.ncbi.nlm.nih.gov/42745200/</w:t>
      </w:r>
    </w:p>
    <w:p>
      <w:pPr>
        <w:pStyle w:val="Heading2"/>
      </w:pPr>
      <w:r>
        <w:t>Hohe Sepsis-Inzidenz bei alkoholbedingter Zirrhose: 30%-Mortalität in erster Hospitalisierung</w:t>
      </w:r>
    </w:p>
    <w:p>
      <w:r>
        <w:rPr>
          <w:i/>
          <w:color w:val="666666"/>
          <w:sz w:val="18"/>
        </w:rPr>
        <w:t>Stenderup CJ et al.  ·  Liver Int  ·  Okt. 2026  ·  PMID 42741819</w:t>
      </w:r>
    </w:p>
    <w:p>
      <w:r>
        <w:t>Dänische populationsbasierte Studie aller Patienten mit alkoholbedingter Zirrhose (n = 2.511, 2013–2022) quantifizierte Sepsis- und Bakteriämie-Inzidenz und prognostische Faktoren.</w:t>
      </w:r>
    </w:p>
    <w:p>
      <w:r>
        <w:rPr>
          <w:b/>
        </w:rPr>
        <w:t xml:space="preserve">Ergebnis: </w:t>
      </w:r>
      <w:r>
        <w:t>Kumulative 3-Jahres-Inzidenz ernst gemeinter Systeminfektionen 5,9% (95%-KI 5,0–6,9). MELD-NA-Score war unabhängiger Prädiktor (sHR 1,05 pro Punkt; 95%-KI 1,02–1,08). 30-Tage-Mortalität nach Hospitalisierung mit Infektion: 30% (95%-KI 23–37). Enterobacterales 38%, Staphylokokken 25%, Streptokokken 22% der Isolate.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mit skandinavischem Melde- und Entschädigungssystem – Fallzahlen nicht mit deutschem vergleichbar</w:t>
      </w:r>
    </w:p>
    <w:p>
      <w:r>
        <w:rPr>
          <w:color w:val="5A7D3A"/>
          <w:sz w:val="18"/>
        </w:rPr>
        <w:t>https://pubmed.ncbi.nlm.nih.gov/42741819/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