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30.09.2026  |  6 Studien  |  safety.m-vf.de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Chirurgische Infektionen steigern Behandlungskosten nach Bauchoperationen um 29.600 Euro</w:t>
      </w:r>
    </w:p>
    <w:p>
      <w:r>
        <w:rPr>
          <w:i/>
          <w:color w:val="666666"/>
          <w:sz w:val="18"/>
        </w:rPr>
        <w:t>Bontekoning N et al.  ·  BJS Open  ·  04.09.2026  ·  PMID 42808217</w:t>
      </w:r>
    </w:p>
    <w:p>
      <w:r>
        <w:t>Sekundäranalyse der EPO2CH-Studie mit 1.119 Patienten quantifizierte Kosten und Lebensqualität nach elektiven Bauchoperationen mit Infektionen versus ohne.</w:t>
      </w:r>
    </w:p>
    <w:p>
      <w:r>
        <w:rPr>
          <w:b/>
        </w:rPr>
        <w:t xml:space="preserve">Ergebnis: </w:t>
      </w:r>
      <w:r>
        <w:t>Patienten mit Infektionen: durchschnittliche Kosten 53.562 Euro vs. 23.969 Euro ohne Infektionen (Differenz 29.592 Euro). Qualitätsverlust: 0,171 QALYs vs. 0,205 ohne Infektionen (Differenz -0,035), entsprechend 12,78 Tagen verlorener Gesundheit in 3 Monaten. Anastomoseninsuffizienz mit höchsten Kosten (56.401 Euro mehr).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vergleichbares Versicherungssystem</w:t>
      </w:r>
    </w:p>
    <w:p>
      <w:r>
        <w:rPr>
          <w:color w:val="5A7D3A"/>
          <w:sz w:val="18"/>
        </w:rPr>
        <w:t>https://pubmed.ncbi.nlm.nih.gov/42808217/</w:t>
      </w:r>
    </w:p>
    <w:p>
      <w:pPr>
        <w:pStyle w:val="Heading2"/>
      </w:pPr>
      <w:r>
        <w:t>Desinfektion der Reinigungswerkzeuge senkt Pathogenkontamination um 50 Prozent</w:t>
      </w:r>
    </w:p>
    <w:p>
      <w:r>
        <w:rPr>
          <w:i/>
          <w:color w:val="666666"/>
          <w:sz w:val="18"/>
        </w:rPr>
        <w:t>Zhang X et al.  ·  Front Public Health  ·  14.09.2026  ·  PMID 42807511</w:t>
      </w:r>
    </w:p>
    <w:p>
      <w:r>
        <w:t>Querschnittsstudie mit 5.000 Proben von wiederverwendbaren Reinigungswerkzeugen in Shanghaier Krankenhäusern ermittelte Kontaminationsquoten und Effektivität von Desinfektionsmethoden.</w:t>
      </w:r>
    </w:p>
    <w:p>
      <w:r>
        <w:rPr>
          <w:b/>
        </w:rPr>
        <w:t xml:space="preserve">Ergebnis: </w:t>
      </w:r>
      <w:r>
        <w:t>Gesamtkontaminationsquote 7,44%. Werkzeuge ohne routinemäßige Desinfektion: 1,859-fach höheres Infektionsrisiko (OR; 95%-KI 1,283–2,691). Disposable-Desinfektionstücher effektiver als Wischen mit Lappen (p=0,038). Interne Medizin und Chirurgie höheres Risiko als Intensivstation (OR 1,90 bzw. 1,92).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Prinzipien universal, aber lokale Hygienestandards variabel</w:t>
      </w:r>
    </w:p>
    <w:p>
      <w:r>
        <w:rPr>
          <w:color w:val="5A7D3A"/>
          <w:sz w:val="18"/>
        </w:rPr>
        <w:t>https://pubmed.ncbi.nlm.nih.gov/42807511/</w:t>
      </w:r>
    </w:p>
    <w:p>
      <w:pPr>
        <w:pStyle w:val="Heading2"/>
      </w:pPr>
      <w:r>
        <w:t>Infektionsprävention kontrolierte ESBL-Klebsiella-Ausbruch auf Neugeborenen-Station in 2 Monaten</w:t>
      </w:r>
    </w:p>
    <w:p>
      <w:r>
        <w:rPr>
          <w:i/>
          <w:color w:val="666666"/>
          <w:sz w:val="18"/>
        </w:rPr>
        <w:t>Comelli A et al.  ·  Antimicrob Resist Infect Control  ·  29.09.2026  ·  PMID 42806396</w:t>
      </w:r>
    </w:p>
    <w:p>
      <w:r>
        <w:t>Retrospektive Fall-Kontroll-Studie eines Ausbruchs mit 44 bestätigten ESBL-Klebsiella-Fällen in einer Neugeborenen-Intensivstation in Bangui dokumentierte Maßnahmen zur Ausbruchkontrolle.</w:t>
      </w:r>
    </w:p>
    <w:p>
      <w:r>
        <w:rPr>
          <w:b/>
        </w:rPr>
        <w:t xml:space="preserve">Ergebnis: </w:t>
      </w:r>
      <w:r>
        <w:t>Inzidenz 29,7 Fälle pro 1.000 Patiententage. Mortalität in der Infektionsgruppe 3,5-fach höher. Überbelegung &gt;100% und schlechte Infektionsprävention initial. Nach IPC-Interventionen (erste Monatshälfte): Ausbruch in ~2 Monaten kontrolliert. 56,8% frühe Sepsis, maternale Risikofaktoren stärkster unabhängiger Risikofaktor.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Mittel-Afrika, prinzipien auf Deutschland übertragbar, aber Ressourcenunterschiede erheblich</w:t>
      </w:r>
    </w:p>
    <w:p>
      <w:r>
        <w:rPr>
          <w:color w:val="5A7D3A"/>
          <w:sz w:val="18"/>
        </w:rPr>
        <w:t>https://pubmed.ncbi.nlm.nih.gov/42806396/</w:t>
      </w:r>
    </w:p>
    <w:p>
      <w:pPr>
        <w:pStyle w:val="Heading2"/>
      </w:pPr>
      <w:r>
        <w:t>Mitochondriale Proteine prognostizieren Sepsis-Mortalität: 72-Stunden-Vorhersage möglich</w:t>
      </w:r>
    </w:p>
    <w:p>
      <w:r>
        <w:rPr>
          <w:i/>
          <w:color w:val="666666"/>
          <w:sz w:val="18"/>
        </w:rPr>
        <w:t>Meems CJ et al.  ·  Crit Care  ·  29.08.2026  ·  PMID 42806380</w:t>
      </w:r>
    </w:p>
    <w:p>
      <w:r>
        <w:t>Post-hoc-Analyse der Acutelines-Biobank mit 213 Sepsis-Patienten untersuchte, ob Plasmaprofile mitochondrial-assoziierter Proteine (232 aus 5.416 gemessenen) mit Schweregrad und Kurzzeitausgang verbunden sind.</w:t>
      </w:r>
    </w:p>
    <w:p>
      <w:r>
        <w:rPr>
          <w:b/>
        </w:rPr>
        <w:t xml:space="preserve">Ergebnis: </w:t>
      </w:r>
      <w:r>
        <w:t>Mitochondrial-Protein-Score korrelierte mit Schweregrad (Spearman ρ 0,18–0,29; p&lt;0,01) und schlechteren 72-h-Ergebnissen: Organversagen-freies Überleben OR 0,57 pro Standardabweichung; ICU-Aufnahme OR 1,66; Mortalität OR 2,36. Zwei Cluster identifiziert, aber eher kontinuierliches Spektrum als diskrete Subphänotypen.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europäisches Gesundheitssystem, methodisch vergleichbar</w:t>
      </w:r>
    </w:p>
    <w:p>
      <w:r>
        <w:rPr>
          <w:color w:val="5A7D3A"/>
          <w:sz w:val="18"/>
        </w:rPr>
        <w:t>https://pubmed.ncbi.nlm.nih.gov/42806380/</w:t>
      </w:r>
    </w:p>
    <w:p>
      <w:pPr>
        <w:pStyle w:val="Heading2"/>
      </w:pPr>
      <w:r>
        <w:t>Bluttransfusion bei krebskranken Sepsis-Patienten: restrictive Strategie nicht unterlegen</w:t>
      </w:r>
    </w:p>
    <w:p>
      <w:r>
        <w:rPr>
          <w:i/>
          <w:color w:val="666666"/>
          <w:sz w:val="18"/>
        </w:rPr>
        <w:t>Pène F et al.  ·  Intensive Care Med  ·  19.08.2026  ·  PMID 42616082</w:t>
      </w:r>
    </w:p>
    <w:p>
      <w:r>
        <w:t>Randomisierte Studie (TRANSPORT) mit 187 Patienten mit Krebs und septischem Schock verglich liberale versus restrictive RBC-Transfusionsstrategie auf Basis Hämoglobin-Schwellenwerte.</w:t>
      </w:r>
    </w:p>
    <w:p>
      <w:r>
        <w:rPr>
          <w:b/>
        </w:rPr>
        <w:t xml:space="preserve">Ergebnis: </w:t>
      </w:r>
      <w:r>
        <w:t>Liberale Gruppe (Hb 9,0): 52% mit 12-h-Laktat-Reduktion. Restrictive Gruppe (Hb 7,0): 50% (OR 1,07; KI 0,60–1,90; p=0,82). Thrombotische Ereignisse liberale: 13% vs. restrictive 1% (p=0,001). 28-Tage-Mortalität 46% vs. 53% (p=0,34). Studie vorzeitig wegen Sicherheitsbedenken gestoppt.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europäisches Gesundheitssystem, Design übertragbar</w:t>
      </w:r>
    </w:p>
    <w:p>
      <w:r>
        <w:rPr>
          <w:color w:val="5A7D3A"/>
          <w:sz w:val="18"/>
        </w:rPr>
        <w:t>https://pubmed.ncbi.nlm.nih.gov/42616082/</w:t>
      </w:r>
    </w:p>
    <w:p>
      <w:pPr>
        <w:pStyle w:val="Heading2"/>
      </w:pPr>
      <w:r>
        <w:t>Pandemie änderte Sterberisiko viraler Sepsis: französische ICU-Kohortenstudie</w:t>
      </w:r>
    </w:p>
    <w:p>
      <w:r>
        <w:rPr>
          <w:i/>
          <w:color w:val="666666"/>
          <w:sz w:val="18"/>
        </w:rPr>
        <w:t>Al Rahmoun M et al.  ·  Int J Infect Dis  ·  16.08.2026  ·  PMID 42604654</w:t>
      </w:r>
    </w:p>
    <w:p>
      <w:r>
        <w:t>Analyse von 604.517 Patienten auf französischen Intensivstationen zeigte, dass COVID-19-Pandemie die Mortalitätsassoziation zwischen viraler und bakterieller Sepsis umkehrte.</w:t>
      </w:r>
    </w:p>
    <w:p>
      <w:r>
        <w:rPr>
          <w:b/>
        </w:rPr>
        <w:t xml:space="preserve">Ergebnis: </w:t>
      </w:r>
      <w:r>
        <w:t>Präpandemisch: virale Sepsis mit reduzierter In-Hospital-Mortalität vs. bakterieller Sepsis (aOR 0,63 bis 0,67). Während Pandemie: virale Sepsis (überwiegend COVID-19) mit erhöhter Mortalität (aOR 1,41 mit Koinfektionen). Gesamtmortalität stationär 29,2%, 90-Tage-Mortalität 34,0%.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Kohortendaten, europäisches Gesundheitssystem, direkt übertragbar</w:t>
      </w:r>
    </w:p>
    <w:p>
      <w:r>
        <w:rPr>
          <w:color w:val="5A7D3A"/>
          <w:sz w:val="18"/>
        </w:rPr>
        <w:t>https://pubmed.ncbi.nlm.nih.gov/42604654/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