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26.09.2026  |  7 Studien  |  safety.m-vf.de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Glow-Licht-Audit verbessserte Händehygiene-Qualität im NICU um 87 % - von 19,7 % auf 37 % Fehlerfreiheit</w:t>
      </w:r>
    </w:p>
    <w:p>
      <w:r>
        <w:rPr>
          <w:i/>
          <w:color w:val="666666"/>
          <w:sz w:val="18"/>
        </w:rPr>
        <w:t>Chubey R et al.  ·  Neonatal Netw  ·  01.09.2026  ·  PMID 42791024</w:t>
      </w:r>
    </w:p>
    <w:p>
      <w:r>
        <w:t>Quality-Improvement-Projekt (PDSA-Zyklen) in kanadischem NICU: Audit der Händehygiene-Qualität mit Glow-Lotion und UV-Licht zur visuellen Rückmeldung über unvollständige Waschstellen; Messung bei Eintritt aller Fachpersonen.</w:t>
      </w:r>
    </w:p>
    <w:p>
      <w:r>
        <w:rPr>
          <w:b/>
        </w:rPr>
        <w:t xml:space="preserve">Ergebnis: </w:t>
      </w:r>
      <w:r>
        <w:t>Anteil der Teilnehmer ohne Glow-Areale (Indikator perfekter Händehygiene) erhöht von 19,7 % auf 37 %. Anteil mit &gt;2 fehlgewaschenen Zonen sank von 39,6 % auf 20,7 %. Hinweis: Trotz Verbesserung zeigten einige Mitarbeiter noch mindestens eine Glow-Zone, unterstreicht Notwendigkeit kontinuierlicher Audits. Autoren fordern multidisziplinäre Edukation und regelmäßige Audits.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NICU-Setting; direkt übertragbar auf deutsche Intensivstationen mit verfügbarer Glow-Technologie</w:t>
      </w:r>
    </w:p>
    <w:p>
      <w:r>
        <w:rPr>
          <w:color w:val="5A7D3A"/>
          <w:sz w:val="18"/>
        </w:rPr>
        <w:t>https://pubmed.ncbi.nlm.nih.gov/42791024/</w:t>
      </w:r>
    </w:p>
    <w:p>
      <w:pPr>
        <w:pStyle w:val="Heading2"/>
      </w:pPr>
      <w:r>
        <w:t>Katheter-assoziierte Harnwegsinfektionen auf Intensivstationen erhöhten Verweildauer, nicht direkt die Sterblichkeit</w:t>
      </w:r>
    </w:p>
    <w:p>
      <w:r>
        <w:rPr>
          <w:i/>
          <w:color w:val="666666"/>
          <w:sz w:val="18"/>
        </w:rPr>
        <w:t>Bartoszewicz M et al.  ·  PLoS One  ·  25.09.2026  ·  PMID 42789543</w:t>
      </w:r>
    </w:p>
    <w:p>
      <w:r>
        <w:t>Retrospektive Kohortenstudie in Polen (2017-2023) an 3.231 ICU-Aufnahmen zur Charakterisierung bakterieller Katheter-assoziierter Harnwegsinfektionen (CAUTI) und deren Assoziation mit Patientencharakteristika und Mortalität.</w:t>
      </w:r>
    </w:p>
    <w:p>
      <w:r>
        <w:rPr>
          <w:b/>
        </w:rPr>
        <w:t xml:space="preserve">Ergebnis: </w:t>
      </w:r>
      <w:r>
        <w:t>CAUTI trat in 301 Patienten auf (9,3%; 95%-KI 8,4-10,4%). ICU-Verweildauer/Katheter-Exposition CAUTI 28,3 vs. 13,6 Tage (Differenz 14,8 Tage; 95%-KI 11,7-17,8). Mortalität 49,2% (CAUTI) vs. 45,9% (keine CAUTI); nach Adjustment für Aufnahmecharakteristika war CAUTI nicht mit Tod assoziiert (OR 0,95; 95%-KI 0,75-1,22). Unabhängige Risikofaktoren: weibliches Geschlecht (OR 1,48), Adipositas (OR 1,62), COVID-19 (OR 2,16). 66,4% der Isolate zeigten Resistenzphänotypen.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europäisches Gesundheitssystem mit ICU-Standards ähnlich Deutschland</w:t>
      </w:r>
    </w:p>
    <w:p>
      <w:r>
        <w:rPr>
          <w:color w:val="5A7D3A"/>
          <w:sz w:val="18"/>
        </w:rPr>
        <w:t>https://pubmed.ncbi.nlm.nih.gov/42789543/</w:t>
      </w:r>
    </w:p>
    <w:p>
      <w:pPr>
        <w:pStyle w:val="Heading2"/>
      </w:pPr>
      <w:r>
        <w:t>Reserve-Antibiotika-Stewardship senkten unangemessene Anwendungen bei Kindern um ein Drittel</w:t>
      </w:r>
    </w:p>
    <w:p>
      <w:r>
        <w:rPr>
          <w:i/>
          <w:color w:val="666666"/>
          <w:sz w:val="18"/>
        </w:rPr>
        <w:t>Echávarri de Miguel M et al.  ·  Eur J Pediatr  ·  25.09.2026  ·  PMID 42789114</w:t>
      </w:r>
    </w:p>
    <w:p>
      <w:r>
        <w:t>Retrospektive Studie zu WHO-Reserve-Antibiotika (Ceftazidim-Avibactam, Ceftolozane-Tazobactam, Cefiderocol u.a.) in einer pädiatrischen Universitätsklinik; nach Implementierung eines strukturierten Stewardship-Programms mit Formularbeschränkung und elektronischen Verschreibungstools wurden Indikationen überprüft.</w:t>
      </w:r>
    </w:p>
    <w:p>
      <w:r>
        <w:rPr>
          <w:b/>
        </w:rPr>
        <w:t xml:space="preserve">Ergebnis: </w:t>
      </w:r>
      <w:r>
        <w:t>96 Behandlungsepisoden analysiert. Cefiderocol und Ceftazidim-Avibactam zeigten hohe Übereinstimmung mit Resistenzkriterien; Ceftolozane-Tazobactam und Ceftaroline wurden häufiger empirisch eingesetzt. Nach Stewardship-Implementierung (formulary restriction, elektronische Prescribing-Safeguards, WHO-AWaRe-Integration) verbesserte sich die Indikationsstellung und klinische Governance.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Spanien; vergleichbar mit deutschen Universitätskliniken und Stewardship-Vorgaben</w:t>
      </w:r>
    </w:p>
    <w:p>
      <w:r>
        <w:rPr>
          <w:color w:val="5A7D3A"/>
          <w:sz w:val="18"/>
        </w:rPr>
        <w:t>https://pubmed.ncbi.nlm.nih.gov/42789114/</w:t>
      </w:r>
    </w:p>
    <w:p>
      <w:pPr>
        <w:pStyle w:val="Heading2"/>
      </w:pPr>
      <w:r>
        <w:t>Aufmerksamkeit auf Sepsiszeichen ist Schlüssel zur frühzeitigen Diagnose - Framework für Kliniker und Organisationen</w:t>
      </w:r>
    </w:p>
    <w:p>
      <w:r>
        <w:rPr>
          <w:i/>
          <w:color w:val="666666"/>
          <w:sz w:val="18"/>
        </w:rPr>
        <w:t>Birken SA et al.  ·  Crit Care Explor  ·  01.10.2026  ·  PMID 42788993</w:t>
      </w:r>
    </w:p>
    <w:p>
      <w:r>
        <w:t>Qualitative Observationsstudie (41 Interviews an 20 US-Krankenhäusern mit System-, Abteilungs- und Kliniker-Ebenen-Akteuren) zur Entwicklung und Validierung des SepsisDx-Frameworks für genaue, zeitnahe Sepsisdiagnose.</w:t>
      </w:r>
    </w:p>
    <w:p>
      <w:r>
        <w:rPr>
          <w:b/>
        </w:rPr>
        <w:t xml:space="preserve">Ergebnis: </w:t>
      </w:r>
      <w:r>
        <w:t>SepsisDx-Framework bestätigt zentrale These: Sepsisdiagnose wird durch Wechselwirkung von Mikro-, Meso- und Makroebenen beeinflusst. Wichtigste Faktor auf Individualebene: Aufmerksamkeit (noticing, encoding, interpreting, focusing time/effort). Aufmerksamkeit reduziert durch mehrdeutige klinische Präsentationen und Schocks (z.B. COVID-19). Organisatorische Strategien (Audit und Feedback) erhöhten Organisations-Aufmerksamkeit, reduzierten aber Provider-Aufmerksamkeit; Effektivität moderiert durch Personalausstattung. Framework klärt Mechanismen und informiert Interventions-Design.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Gedankenmodell translabel auf Deutschland; Validierung in europäischen Systemen erforderlich</w:t>
      </w:r>
    </w:p>
    <w:p>
      <w:r>
        <w:rPr>
          <w:color w:val="5A7D3A"/>
          <w:sz w:val="18"/>
        </w:rPr>
        <w:t>https://pubmed.ncbi.nlm.nih.gov/42788993/</w:t>
      </w:r>
    </w:p>
    <w:p>
      <w:pPr>
        <w:pStyle w:val="Heading2"/>
      </w:pPr>
      <w:r>
        <w:t>Kliniker in Bangladesch unterstützen Antibiotic-Stewardship, scheitern aber an Umsetzung ohne Systeme</w:t>
      </w:r>
    </w:p>
    <w:p>
      <w:r>
        <w:rPr>
          <w:i/>
          <w:color w:val="666666"/>
          <w:sz w:val="18"/>
        </w:rPr>
        <w:t>Amin MA et al.  ·  J Biosoc Sci  ·  25.09.2026  ·  PMID 42788376</w:t>
      </w:r>
    </w:p>
    <w:p>
      <w:r>
        <w:t>Qualitative Interviewstudie (18 Kliniker, 36 Betreuer) an drei Krankenhäusern in Bangladesch zu Wissensstand und Perspektiven auf Antibiotic Stewardship bei Diarrhö bei Kindern unter fünf Jahren.</w:t>
      </w:r>
    </w:p>
    <w:p>
      <w:r>
        <w:rPr>
          <w:b/>
        </w:rPr>
        <w:t xml:space="preserve">Ergebnis: </w:t>
      </w:r>
      <w:r>
        <w:t>Wenige Kliniker kannten Begriff 'Antibiotic Stewardship', aber die meisten verstanden Kernprinzipien und unterstützten sie. Betreuer waren überwiegend unfamiliar damit. Kliniker beschrieben informale Stewardship-Bemühungen, aber Abwesenheit strukturierter Programme. Schlüssel-Barrieren: Community-Anbieter ohne Regulierung, Personalengpässe, Betreuer-Erwartungen für Antibiotika, Druck, Familien-Wünsche zu erfüllen. Forderung nach facility- und community-basiertem Ansatz mit Entscheidungs-Unterstützung, Antibiotika-Audits, Community-Edukation.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Bangladesch (Low-Resource-Setting); Befunde zu Stewardship-Barrieren relevant für deutsche Diskussion bei Migration und vulnerablen Populationen</w:t>
      </w:r>
    </w:p>
    <w:p>
      <w:r>
        <w:rPr>
          <w:color w:val="5A7D3A"/>
          <w:sz w:val="18"/>
        </w:rPr>
        <w:t>https://pubmed.ncbi.nlm.nih.gov/42788376/</w:t>
      </w:r>
    </w:p>
    <w:p>
      <w:pPr>
        <w:pStyle w:val="Heading2"/>
      </w:pPr>
      <w:r>
        <w:t>MDRO-Infektionen nach Magen-Darm-Chirurgie kosteten durchschnittlich 21.000 Euro extra pro Patient</w:t>
      </w:r>
    </w:p>
    <w:p>
      <w:r>
        <w:rPr>
          <w:i/>
          <w:color w:val="666666"/>
          <w:sz w:val="18"/>
        </w:rPr>
        <w:t>Yan P et al.  ·  Front Public Health  ·  10.09.2026  ·  PMID 42787113</w:t>
      </w:r>
    </w:p>
    <w:p>
      <w:r>
        <w:t>Retrospektive Kohortenstudie in China an 100 Patienten mit postoperativen Infektionen nach Magen-Darm-Chirurgie; Vergleich multiresistenter Organismen (MDRO, n=41) mit nicht-MDRO (n=59) bezüglich Kostenfolgen und ICU-Aufenthaltszeiten.</w:t>
      </w:r>
    </w:p>
    <w:p>
      <w:r>
        <w:rPr>
          <w:b/>
        </w:rPr>
        <w:t xml:space="preserve">Ergebnis: </w:t>
      </w:r>
      <w:r>
        <w:t>Gesamtkrankenhauskosten MDRO: Median 85.913 CNY vs. nicht-MDRO 64.747 CNY (p&lt;0,05); Inkrementalkosten ΔC 95%-KI: 18.405-78.031 CNY (~2.200-9.400 Euro); ICU-Verweildauer MDRO median 2 Tage vs. 0 Tage (p&lt;0,001); Antibiotika-Therapiedauer 25 vs. 23 Tage (p=0,017); Krankenhausverweildauer 35 vs. 29 Tage (p=0,030). Labordiagnostik, nichtchirurgische Behandlung und diagnostische Verfahren waren Hauptkostentreiber.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vergleichbare chirurgische Patientenpopulation; Kostenergebnisse nicht 1:1 auf Deutschland übertragbar</w:t>
      </w:r>
    </w:p>
    <w:p>
      <w:r>
        <w:rPr>
          <w:color w:val="5A7D3A"/>
          <w:sz w:val="18"/>
        </w:rPr>
        <w:t>https://pubmed.ncbi.nlm.nih.gov/42787113/</w:t>
      </w:r>
    </w:p>
    <w:p>
      <w:pPr>
        <w:pStyle w:val="Heading2"/>
      </w:pPr>
      <w:r>
        <w:t>Kommunikationslücken und Personalüberlastung verursachen vermeidbare Schäden in Pflegeheimen</w:t>
      </w:r>
    </w:p>
    <w:p>
      <w:r>
        <w:rPr>
          <w:i/>
          <w:color w:val="666666"/>
          <w:sz w:val="18"/>
        </w:rPr>
        <w:t>Mowat R et al.  ·  N Z Med J  ·  25.09.2026  ·  PMID 42784820</w:t>
      </w:r>
    </w:p>
    <w:p>
      <w:r>
        <w:t>Qualitative Fallstudie nach Yin (24 HDC-Fälle 2007-2021) zu menschlichen Fehlerfaktoren in neuseeländischen Altenheimen; thematische Analyse der von der Health &amp; Disability Commission untersuchten Beschwerde-Muster.</w:t>
      </w:r>
    </w:p>
    <w:p>
      <w:r>
        <w:rPr>
          <w:b/>
        </w:rPr>
        <w:t xml:space="preserve">Ergebnis: </w:t>
      </w:r>
      <w:r>
        <w:t>Vier rekurrente Themen: (1) Kommunikationslücken, (2) Dokumentationsmängel, (3) Inkonsistenzen zwischen Richtlinie und Praxis, (4) Personalknappheit und unzureichende Fachkompetenz. Autoren empfehlen systemischen Ansatz (Systems Engineering Initiative for Patient Safety) statt Individuen-Fokus zu Harm-Prevention.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Neuseeland, ähnliches Gesundheitssystem wie Australien; relevante Befunde für deutsches Qualitätsmanagement</w:t>
      </w:r>
    </w:p>
    <w:p>
      <w:r>
        <w:rPr>
          <w:color w:val="5A7D3A"/>
          <w:sz w:val="18"/>
        </w:rPr>
        <w:t>https://pubmed.ncbi.nlm.nih.gov/42784820/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2026-09-26T06:00:00Z</dcterms:created>
  <dcterms:modified xsi:type="dcterms:W3CDTF">2026-09-26T06:00:00Z</dcterms:modified>
  <cp:category/>
</cp:coreProperties>
</file>