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03.10.2026  |  5 Studien  |  safety.m-vf.de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Strukturierte Intervention senkte 72-Stunden-Wiederaufnahmen bei Sepsis um 0,00112 pro Patient pro Monat</w:t>
      </w:r>
    </w:p>
    <w:p>
      <w:r>
        <w:rPr>
          <w:i/>
          <w:color w:val="666666"/>
          <w:sz w:val="18"/>
        </w:rPr>
        <w:t>Burns R et al.  ·  South Med J  ·  02.10.2026  ·  PMID 42826397</w:t>
      </w:r>
    </w:p>
    <w:p>
      <w:r>
        <w:t>Retrospektive Kohortenstudie mit unterbrochener Zeitreihenanalyse: Auswirkung einer Interventionsmaßnahme auf 72-Stunden-Wiederaufnahmen von Patienten mit Sepsis oder Pyelonephritis in einer US-amerikanischen Notaufnahme (2020–2023).</w:t>
      </w:r>
    </w:p>
    <w:p>
      <w:r>
        <w:rPr>
          <w:b/>
        </w:rPr>
        <w:t xml:space="preserve">Ergebnis: </w:t>
      </w:r>
      <w:r>
        <w:t>Von 39.818 Patienten hatten 4.907 (12,3 %) 72-Stunden-Wiederaufnahmen. Vor Intervention: Anstieg um 0,00054 pro Aufnahme pro Monat (p=0,30). Nach Interventionsimplementierung am 4. Mai 2021 sofortiger Rückgang um 0,0017 (p=0,75), dann nachhaltiger Rückgang um 0,00112 pro Aufnahme pro Monat (p=0,04). Für Sepsis spezifisch: nachhaltiger Rückgang von 0,0033 pro Aufnahme pro Monat (p=0,02). Intervention war mit nachhaltiger Reduktion der Wiederaufnahmen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Wiederaufnahme-Messung übertragbar, Interventionsdetails fehlen</w:t>
      </w:r>
    </w:p>
    <w:p>
      <w:r>
        <w:rPr>
          <w:color w:val="5A7D3A"/>
          <w:sz w:val="18"/>
        </w:rPr>
        <w:t>https://pubmed.ncbi.nlm.nih.gov/42826397/</w:t>
      </w:r>
    </w:p>
    <w:p>
      <w:pPr>
        <w:pStyle w:val="Heading2"/>
      </w:pPr>
      <w:r>
        <w:t>Antibiotic Stewardship bei geschlossenen Gesichtsfrakturen reduziert Schaden ohne Infektionsschutz</w:t>
      </w:r>
    </w:p>
    <w:p>
      <w:r>
        <w:rPr>
          <w:i/>
          <w:color w:val="666666"/>
          <w:sz w:val="18"/>
        </w:rPr>
        <w:t>Isaac JI et al.  ·  South Med J  ·  02.10.2026  ·  PMID 42826395</w:t>
      </w:r>
    </w:p>
    <w:p>
      <w:r>
        <w:t>Systematische Übersicht von sieben US-amerikanischen Studien mit 3.274 Patienten zu prophylaktischen Antibiotika bei nicht-operativ behandelten Gesichtsfrakturen: Frakturen-assoziierte Infektionsrate 1,0 %, ohne Nutzen der Antibiotikaprophylaxe.</w:t>
      </w:r>
    </w:p>
    <w:p>
      <w:r>
        <w:rPr>
          <w:b/>
        </w:rPr>
        <w:t xml:space="preserve">Ergebnis: </w:t>
      </w:r>
      <w:r>
        <w:t>Infektionsraten waren niedrig (1,0 % in der größten prospektiven Kohortenstudie) und wurden durch Prophylaxe nicht gesenkt (angepasstes Odds Ratio 1,24–1,32). Längere Antibiotikaexposition war mit isolierten Fällen von Clostridioides-difficile-Kolitis assoziiert. Verfügbare Evidenz unterstützt keine routinemäßige Prophylaxe für unkomplizierte, nicht-operative Gesichtsfrakturen.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Prinzip aber übertragbar: vermeidbarer Schaden durch unnötige Antibiotikaexposition</w:t>
      </w:r>
    </w:p>
    <w:p>
      <w:r>
        <w:rPr>
          <w:color w:val="5A7D3A"/>
          <w:sz w:val="18"/>
        </w:rPr>
        <w:t>https://pubmed.ncbi.nlm.nih.gov/42826395/</w:t>
      </w:r>
    </w:p>
    <w:p>
      <w:pPr>
        <w:pStyle w:val="Heading2"/>
      </w:pPr>
      <w:r>
        <w:t>Hochantibiotika-Exposition bei niedriger Sepsis-Inzidenz in Neugeborenen-Intensivstationen Ungarns</w:t>
      </w:r>
    </w:p>
    <w:p>
      <w:r>
        <w:rPr>
          <w:i/>
          <w:color w:val="666666"/>
          <w:sz w:val="18"/>
        </w:rPr>
        <w:t>Mari J et al.  ·  Eur J Pediatr  ·  02.10.2026  ·  PMID 42825830</w:t>
      </w:r>
    </w:p>
    <w:p>
      <w:r>
        <w:t>Nationale Registry-Analyse der Antibiotika-Exposition bei Neugeborenen mit früher Sepsis in Ungarn (2020–2023): 0,41 Fälle pro 1.000 Lebendgeburten, aber 63,9 % aller auf Intensivstationen behandelten Neugeborenen erhielten Antibiotika.</w:t>
      </w:r>
    </w:p>
    <w:p>
      <w:r>
        <w:rPr>
          <w:b/>
        </w:rPr>
        <w:t xml:space="preserve">Ergebnis: </w:t>
      </w:r>
      <w:r>
        <w:t>Die Inzidenz der kultivierten early-onset sepsis (CP-EOS) betrug 0,41 pro 1.000 Lebendgeburten (0,20 bei ≥35 Wochen, 7,0 bei &lt;35 Wochen). Trotzdem erhalten 63,9 % der NICU-Neugeborenen Antibiotika im Median 5 (3–8) Tage. Ein Minimum von 3,2 % aller Neugeborenen Ungarns erhielten Antibiotika, und 15,6 % der Blutkulturen zeigten keine nachfolgende Antibiotikabehandlung. Die Studie dokumentiert unnötig hohe Antibiotika-Exposition bei geringer sepsis-Inzidenz und fordert Strategien zur 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vergleichbare neonatale Intensivmedizin, Antibiotic Stewardship-relevanz</w:t>
      </w:r>
    </w:p>
    <w:p>
      <w:r>
        <w:rPr>
          <w:color w:val="5A7D3A"/>
          <w:sz w:val="18"/>
        </w:rPr>
        <w:t>https://pubmed.ncbi.nlm.nih.gov/42825830/</w:t>
      </w:r>
    </w:p>
    <w:p>
      <w:pPr>
        <w:pStyle w:val="Heading2"/>
      </w:pPr>
      <w:r>
        <w:t>Sichere Praktiken in der intravenösen Arzneimitteltherapie: Asepsis, Labeling und Dokumentation verhindern Fehler</w:t>
      </w:r>
    </w:p>
    <w:p>
      <w:r>
        <w:rPr>
          <w:i/>
          <w:color w:val="666666"/>
          <w:sz w:val="18"/>
        </w:rPr>
        <w:t>Rocha HDSD et al.  ·  Rev Bras Enferm  ·  28.09.2026  ·  PMID 42820560</w:t>
      </w:r>
    </w:p>
    <w:p>
      <w:r>
        <w:t>Scoping Review nach JBI über sichere Praktiken bei intravenöser Arzneimitteltherapie bei hospitalisierten Erwachsenen: Analyse von 18 Studien zu Asepsis, Vorbereitung, Kennzeichnung, Applikation und Dokumentation.</w:t>
      </w:r>
    </w:p>
    <w:p>
      <w:r>
        <w:rPr>
          <w:b/>
        </w:rPr>
        <w:t xml:space="preserve">Ergebnis: </w:t>
      </w:r>
      <w:r>
        <w:t>Identifizierte sichere Praktiken während intravenöser Arzneimitteltherapie: Händehygiene, Doppelcheck, Medikamenten- und Patientenidentifikation, Prüfung der Zugangspermeabilität, Dokumentation der Verabreichung und Nebenwirkungen. Diese fünf Stufen (Aseptik, Vorbereitung, Labeling, Applikation, Dokumentation) werden als grundlegend für die Sicherheit hospitalisierter Patienten beschrieben.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internationale Best-Practice-Synthese, direkt auf Deutschland übertragbar</w:t>
      </w:r>
    </w:p>
    <w:p>
      <w:r>
        <w:rPr>
          <w:color w:val="5A7D3A"/>
          <w:sz w:val="18"/>
        </w:rPr>
        <w:t>https://pubmed.ncbi.nlm.nih.gov/42820560/</w:t>
      </w:r>
    </w:p>
    <w:p>
      <w:pPr>
        <w:pStyle w:val="Heading2"/>
      </w:pPr>
      <w:r>
        <w:t>Candida-auris-Ausbruch mit Echinocandin-Resistenz in der Türkei dokumentiert Übertragungsdynamik</w:t>
      </w:r>
    </w:p>
    <w:p>
      <w:r>
        <w:rPr>
          <w:i/>
          <w:color w:val="666666"/>
          <w:sz w:val="18"/>
        </w:rPr>
        <w:t>Spruijtenburg B et al.  ·  Int J Infect Dis  ·  14.08.2026  ·  PMID 42600976</w:t>
      </w:r>
    </w:p>
    <w:p>
      <w:r>
        <w:t>Retrospektive Analyse eines C.-auris-Ausbruchs in einem türkischen Tertiärzentrum (April 2023 – September 2025): 119 Patienten mit Blutstrominfektion, Genotypisierung zeigte Ausbreitung eines Einzelstamms über 21 Stationen ohne Neueinschleppung.</w:t>
      </w:r>
    </w:p>
    <w:p>
      <w:r>
        <w:rPr>
          <w:b/>
        </w:rPr>
        <w:t xml:space="preserve">Ergebnis: </w:t>
      </w:r>
      <w:r>
        <w:t>119 Patienten mit C.-auris-Blutstrominfektion, 30-Tage-Mortalität 54 %. Alle Isolate waren Fluconazol-resistent; zwei Patienten mit vorheriger Echinocandin-Exposition hatten Echinocandin-resistente Isolate (FKS1S639P). Genotypisierung zeigte Clade I mit drei eng verwandten Genotypen; epidemiologische Rückverfolgung und molekulares Typing zeigten, dass ein Ausbruchspatient die Quelle war und sich der Stamm ohne weitere Einschleppungen über mehrere Stationen ausbreitete. Erkannte Übertragungsdynamik unterstreicht Notwendigkeit stärkerer Infektionsprävention.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(Europa), Ausbruch-Management relevant, Meldepflichten unterscheiden sich</w:t>
      </w:r>
    </w:p>
    <w:p>
      <w:r>
        <w:rPr>
          <w:color w:val="5A7D3A"/>
          <w:sz w:val="18"/>
        </w:rPr>
        <w:t>https://pubmed.ncbi.nlm.nih.gov/42600976/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