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13.09.2026  |  6 Studien  |  safety.m-vf.de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TeamSTEPPS-Workshop verbessert Teamfähigkeit und Kommunikationswissen bei Studierenden</w:t>
      </w:r>
    </w:p>
    <w:p>
      <w:r>
        <w:rPr>
          <w:i/>
          <w:color w:val="666666"/>
          <w:sz w:val="18"/>
        </w:rPr>
        <w:t>Yin Y et al.  ·  Nurs Open  ·  Sept. 2026  ·  PMID 42728718</w:t>
      </w:r>
    </w:p>
    <w:p>
      <w:r>
        <w:t>Evaluierung eines 4-stündigen TeamSTEPPS-Workshops mit Szenarien und Simulation für Studierende des dritten Jahres zur Verbesserung von Teamfähigkeit und Kommunikation im Versorgungskontext.</w:t>
      </w:r>
    </w:p>
    <w:p>
      <w:r>
        <w:rPr>
          <w:b/>
        </w:rPr>
        <w:t xml:space="preserve">Ergebnis: </w:t>
      </w:r>
      <w:r>
        <w:t>Gesamtscore der Chinese TeamSTEPPS Teamwork Perceptions Questionnaire stieg von 149,06±15,18 auf 159,45±16,28 (signifikant); Wissensprüfung stieg von 80,14±18,29 auf 87,33±8,43; Verbesserungen in Teamstruktur, Führung, Situationsbewusstsein und gegenseitiger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Transfer zu Deutschland durch standardisierte Simulation und etablierte Teamwork-Tools.</w:t>
      </w:r>
    </w:p>
    <w:p>
      <w:r>
        <w:rPr>
          <w:color w:val="5A7D3A"/>
          <w:sz w:val="18"/>
        </w:rPr>
        <w:t>https://pubmed.ncbi.nlm.nih.gov/42728718/</w:t>
      </w:r>
    </w:p>
    <w:p>
      <w:pPr>
        <w:pStyle w:val="Heading2"/>
      </w:pPr>
      <w:r>
        <w:t>Vasopressoranwendung bei Sepsis in Uganda und Ruanda: Prädiktoren für deren Einsatz</w:t>
      </w:r>
    </w:p>
    <w:p>
      <w:r>
        <w:rPr>
          <w:i/>
          <w:color w:val="666666"/>
          <w:sz w:val="18"/>
        </w:rPr>
        <w:t>Girard WS et al.  ·  Crit Care Explor  ·  01.09.2026  ·  PMID 42726203</w:t>
      </w:r>
    </w:p>
    <w:p>
      <w:r>
        <w:t>Retrospektive Kohortenstudie zu Vasopressoranwendung bei sepsierten Patienten in zwei Hochseuchenlastkliniken Ostafrikas mit Analyse der Behandlungsmuster.</w:t>
      </w:r>
    </w:p>
    <w:p>
      <w:r>
        <w:rPr>
          <w:b/>
        </w:rPr>
        <w:t xml:space="preserve">Ergebnis: </w:t>
      </w:r>
      <w:r>
        <w:t>Von 471 Septikämie-Patienten erhielten 24% (n=113) Vasopressoren; erhöhte UVA-Mortalitätsrisikoscores waren der stärkste Prädiktor für Vasopressoranwendung (adjustiertes OR 1,25; 95%-KI 1,14-1,27; p&lt;0,001); Sterblichkeit lag bei 30% (n=139).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Uganda/Ruanda - Limitierte Ressourcen, aber Sepsismanagement relevant für alle Kontexte.</w:t>
      </w:r>
    </w:p>
    <w:p>
      <w:r>
        <w:rPr>
          <w:color w:val="5A7D3A"/>
          <w:sz w:val="18"/>
        </w:rPr>
        <w:t>https://pubmed.ncbi.nlm.nih.gov/42726203/</w:t>
      </w:r>
    </w:p>
    <w:p>
      <w:pPr>
        <w:pStyle w:val="Heading2"/>
      </w:pPr>
      <w:r>
        <w:t>Cefiderocol-Resistenztrends bei carbapenemresistenter Klebsiella pneumoniae vor klinischer Einführung</w:t>
      </w:r>
    </w:p>
    <w:p>
      <w:r>
        <w:rPr>
          <w:i/>
          <w:color w:val="666666"/>
          <w:sz w:val="18"/>
        </w:rPr>
        <w:t>Wang M et al.  ·  Front Cell Infect Microbiol  ·  27.08.2026  ·  PMID 42723943</w:t>
      </w:r>
    </w:p>
    <w:p>
      <w:r>
        <w:t>Retrospektive Analyse von 83 carbapenemresistenten K.-pneumoniae-Isolaten aus Blutkultur-Episoden eines chinesischen Tertiärkrankenhauses mit Cefiderocol-MIC-Bestimmung und genomischer Charakterisierung.</w:t>
      </w:r>
    </w:p>
    <w:p>
      <w:r>
        <w:rPr>
          <w:b/>
        </w:rPr>
        <w:t xml:space="preserve">Ergebnis: </w:t>
      </w:r>
      <w:r>
        <w:t>83,1% der Isolate waren nach CLSI-Kriterien Cefiderocol-empfindlich; MIC50 4 mg/L, MIC90 8 mg/L; 41% erfüllten Reduziertempfindlichkeitskriterien; ST11-Klone mit KL47/KL64 zeigten höhere MICs; bla_NDM-1 und Virulenzplasmide waren mit reduzierter Empfindlichkeit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Resistenzmuster und Baseline vor Arzneimittelexposition international relevant.</w:t>
      </w:r>
    </w:p>
    <w:p>
      <w:r>
        <w:rPr>
          <w:color w:val="5A7D3A"/>
          <w:sz w:val="18"/>
        </w:rPr>
        <w:t>https://pubmed.ncbi.nlm.nih.gov/42723943/</w:t>
      </w:r>
    </w:p>
    <w:p>
      <w:pPr>
        <w:pStyle w:val="Heading2"/>
      </w:pPr>
      <w:r>
        <w:t>Schnelle Diagnostik von Blutkultur-Infektionen spart Leben und Kosten</w:t>
      </w:r>
    </w:p>
    <w:p>
      <w:r>
        <w:rPr>
          <w:i/>
          <w:color w:val="666666"/>
          <w:sz w:val="18"/>
        </w:rPr>
        <w:t>Karichu JK et al.  ·  J Med Econ  ·  10.09.2026  ·  PMID 42720132</w:t>
      </w:r>
    </w:p>
    <w:p>
      <w:r>
        <w:t>Budget-Impact-Analyse für England und USA zur Vorhersage der Kosteneffektivität von molekularen Schnelltests zur Pathogenerkennung bei Septikämien von 2025–2029.</w:t>
      </w:r>
    </w:p>
    <w:p>
      <w:r>
        <w:rPr>
          <w:b/>
        </w:rPr>
        <w:t xml:space="preserve">Ergebnis: </w:t>
      </w:r>
      <w:r>
        <w:t>In England 927000 BSI-Fälle vorhergesagt; Einsatz von Cobas Eplex BCID würde 1864 Leben retten und über £40 Millionen einsparen; in den USA 6882 Leben gerettet und über $450 Millionen Ersparnis; schnellere Pathogenidentifikation ermöglicht frühere Therapieoptimierung.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USA, aber Technologie und Kostenperspektive relevant für deutsche Gesundheitssysteme.</w:t>
      </w:r>
    </w:p>
    <w:p>
      <w:r>
        <w:rPr>
          <w:color w:val="5A7D3A"/>
          <w:sz w:val="18"/>
        </w:rPr>
        <w:t>https://pubmed.ncbi.nlm.nih.gov/42720132/</w:t>
      </w:r>
    </w:p>
    <w:p>
      <w:pPr>
        <w:pStyle w:val="Heading2"/>
      </w:pPr>
      <w:r>
        <w:t>Hochgradige Transaminasenerhöhung ohne Hyperbilirubinämie: Unterschätzte Mortalitätsprognose</w:t>
      </w:r>
    </w:p>
    <w:p>
      <w:r>
        <w:rPr>
          <w:i/>
          <w:color w:val="666666"/>
          <w:sz w:val="18"/>
        </w:rPr>
        <w:t>Chalasani N et al.  ·  Clin Pharmacol Ther  ·  25.07.2026  ·  PMID 42502235</w:t>
      </w:r>
    </w:p>
    <w:p>
      <w:r>
        <w:t>Analyse von zwei Registern (DILIN und spanisches DILI-Register) mit insgesamt 964 Patienten zur prognostischen Bedeutung sehr hoher Transaminasen bei niedrig-normalem Bilirubin für druginduzierten Leberschaden.</w:t>
      </w:r>
    </w:p>
    <w:p>
      <w:r>
        <w:rPr>
          <w:b/>
        </w:rPr>
        <w:t xml:space="preserve">Ergebnis: </w:t>
      </w:r>
      <w:r>
        <w:t>Bei sehr hohem ALT und normalem Bilirubin entwickelten nur 1,3% die nR-basierte Hy's Law; minimale Bilirubinerhöhung erhöhte Risiko markant (OR 7,8); besonders hohe Transaminasen (&gt;1000 U/L) mit minimalen Bilirubinwerten hatten höchstes Risiko (OR 23,6).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USA/Spanien, aber Befunde zur Prognoseeinschätzung unabhängig von Haftungskontext.</w:t>
      </w:r>
    </w:p>
    <w:p>
      <w:r>
        <w:rPr>
          <w:color w:val="5A7D3A"/>
          <w:sz w:val="18"/>
        </w:rPr>
        <w:t>https://pubmed.ncbi.nlm.nih.gov/42502235/</w:t>
      </w:r>
    </w:p>
    <w:p>
      <w:pPr>
        <w:pStyle w:val="Heading2"/>
      </w:pPr>
      <w:r>
        <w:t>Unbeabsichtigte Medikamentendiskrepanzen in Übergangsphasen: Überprüfungsfehler als Hauptursache</w:t>
      </w:r>
    </w:p>
    <w:p>
      <w:r>
        <w:rPr>
          <w:i/>
          <w:color w:val="666666"/>
          <w:sz w:val="18"/>
        </w:rPr>
        <w:t>Limmen B et al.  ·  Int J Clin Pharm  ·  18.07.2026  ·  PMID 42470584</w:t>
      </w:r>
    </w:p>
    <w:p>
      <w:r>
        <w:t>Analyse von 992 freiwillig gemeldeten Medikamentenzwischenfällen in Übergangsphasen aus niederländischen Krankenhäusern zur Identifikation der Ursachen von unbeabsichtigten Medikamentendiskrepanzen.</w:t>
      </w:r>
    </w:p>
    <w:p>
      <w:r>
        <w:rPr>
          <w:b/>
        </w:rPr>
        <w:t xml:space="preserve">Ergebnis: </w:t>
      </w:r>
      <w:r>
        <w:t>94% der Zwischenfälle waren menschliche Fehler, davon 49,6% Überprüfungsfehler und 24,8% Interventionsfehler; 74,1% erreichten den Patienten; Omissionen waren die häufigsten Diskrepanztypen (36,2%); kardiovaskuläre Medikamente am häufigsten betroffen (24,9%).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Dokumentationspflichten.</w:t>
      </w:r>
    </w:p>
    <w:p>
      <w:r>
        <w:rPr>
          <w:color w:val="5A7D3A"/>
          <w:sz w:val="18"/>
        </w:rPr>
        <w:t>https://pubmed.ncbi.nlm.nih.gov/42470584/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