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09.09.2026  |  6 Studien  |  safety.m-vf.de</w:t>
      </w:r>
    </w:p>
    <w:p>
      <w:pPr>
        <w:pStyle w:val="Heading1"/>
      </w:pPr>
      <w:r>
        <w:t>Aufgenommen am 09.09.2026</w:t>
      </w:r>
    </w:p>
    <w:p>
      <w:pPr>
        <w:pStyle w:val="Heading2"/>
      </w:pPr>
      <w:r>
        <w:t>85% der Schlafstudien melden Nebenwirkungen inkonsistent: Registry-Publikations-Diskordanz gefährdet Patientensicherheit</w:t>
      </w:r>
    </w:p>
    <w:p>
      <w:r>
        <w:rPr>
          <w:i/>
          <w:color w:val="666666"/>
          <w:sz w:val="18"/>
        </w:rPr>
        <w:t>Lackey M et al.  ·  BMJ Open  ·  08.09.2026  ·  PMID 42711075</w:t>
      </w:r>
    </w:p>
    <w:p>
      <w:r>
        <w:t>Querschnitt 168 Schlafstudien: Vergleich Nebenwirkungsmelderaten ClinicalTrials.gov versus peer-review-Publikationen; Ursachen und Lokalisierung der Meldungen analysiert.</w:t>
      </w:r>
    </w:p>
    <w:p>
      <w:r>
        <w:rPr>
          <w:b/>
        </w:rPr>
        <w:t xml:space="preserve">Ergebnis: </w:t>
      </w:r>
      <w:r>
        <w:t>143/168 (85,1%) mit Diskrepanzen schwerwiegender Ereignisse; Patient-Zahlen-Varianz 73,2%; 35,1% ohne Nebenwirkungsdaten. Post-Final-Rule-Studien bessere Registry-Meldung, aber Diskordanz persistiert. 17% Sterblichkeitsunterschätzung möglich.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(Trial-Registry), Publikationsbias; Befund (Reporting-Lücken) auf deutsches Register-Publikations-Gap übertragbar</w:t>
      </w:r>
    </w:p>
    <w:p>
      <w:r>
        <w:rPr>
          <w:color w:val="5A7D3A"/>
          <w:sz w:val="18"/>
        </w:rPr>
        <w:t>https://pubmed.ncbi.nlm.nih.gov/42711075/</w:t>
      </w:r>
    </w:p>
    <w:p>
      <w:pPr>
        <w:pStyle w:val="Heading2"/>
      </w:pPr>
      <w:r>
        <w:t>Rekapillarisierungszeit bei akuter Entzündung: bettseitiger Test allein nicht sepsistauglich</w:t>
      </w:r>
    </w:p>
    <w:p>
      <w:r>
        <w:rPr>
          <w:i/>
          <w:color w:val="666666"/>
          <w:sz w:val="18"/>
        </w:rPr>
        <w:t>Gustavsson H et al.  ·  Crit Care  ·  31.08.2026  ·  PMID 42706575</w:t>
      </w:r>
    </w:p>
    <w:p>
      <w:r>
        <w:t>Prospektives humanes Endotoxämie-Modell (n=25): Die quantitativ gemessene Rekapillarisierungszeit (qCRT) durchlief unter LPS-induzierter systemischer Entzündung einen zweiphasigen Verlauf und überschritt den klinischen Schwellenwert von drei Sekunden in beide Richtungen.</w:t>
      </w:r>
    </w:p>
    <w:p>
      <w:r>
        <w:rPr>
          <w:b/>
        </w:rPr>
        <w:t xml:space="preserve">Ergebnis: </w:t>
      </w:r>
      <w:r>
        <w:t>Die qCRT stieg von etwa 3,5 s zu Beginn auf 8,31 s nach 1,5 Stunden (bei 14 von 25 Probanden wurde die Messobergrenze von 10 s erreicht) und fiel nach 5 Stunden auf 1,27 s. Die Streuung zwischen den Probanden war gering (ICC 0,30); den größten Anteil an der Varianz erklärte die Hauttemperatur. Ein einzelner fester Schwellenwert ist damit nicht verlässlich; die wiederholte Messung am selben Patienten sagt mehr aus als ein Populationsgrenzwert.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(Uppsala), physiologische Validierung; Übertragbarkeit auf Sepsisverdacht in Notaufnahmen begrenzt ohne prospektive Patientenstudien</w:t>
      </w:r>
    </w:p>
    <w:p>
      <w:r>
        <w:rPr>
          <w:color w:val="5A7D3A"/>
          <w:sz w:val="18"/>
        </w:rPr>
        <w:t>https://pubmed.ncbi.nlm.nih.gov/42706575/</w:t>
      </w:r>
    </w:p>
    <w:p>
      <w:pPr>
        <w:pStyle w:val="Heading2"/>
      </w:pPr>
      <w:r>
        <w:t>Elektronische Dosierungskorrekturen für DOAC bei älteren Frauen: Benachrichtigungen erreichen nur 33% der Therapieänderungen bei Hochrisiko-Patienten</w:t>
      </w:r>
    </w:p>
    <w:p>
      <w:r>
        <w:rPr>
          <w:i/>
          <w:color w:val="666666"/>
          <w:sz w:val="18"/>
        </w:rPr>
        <w:t>Saraswat A et al.  ·  Res Pract Thromb Haemost  ·  06.08.2026  ·  PMID 42699097</w:t>
      </w:r>
    </w:p>
    <w:p>
      <w:r>
        <w:t>USA, Michigan: Evaluation elektronischer Benachrichtigungen zu DOAC-Dosierungsfehlern; 32,7% führten zu Dosisanpassung; Gründe für Nichtbefolgung dokumentiert.</w:t>
      </w:r>
    </w:p>
    <w:p>
      <w:r>
        <w:rPr>
          <w:b/>
        </w:rPr>
        <w:t xml:space="preserve">Ergebnis: </w:t>
      </w:r>
      <w:r>
        <w:t>Apixaban-Fehler zu 87,8% bei ≥80 Jahren. Dosisreduktion 52% Änderungsquote, Dosiserhöhung nur 16,8% (p&lt;0,001). Originale Verschreiber dokumentierten Ablehnungsgründe in 46,1%, Pharmazeuten in 90,5%. Nierenrückgang, Gewicht, Blutungsrisiko häufigste Ablehnungsgründe.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(Haftungsklima anders), aber Fehlererkennungssystem auf deutsches QM-System übertragbar</w:t>
      </w:r>
    </w:p>
    <w:p>
      <w:r>
        <w:rPr>
          <w:color w:val="5A7D3A"/>
          <w:sz w:val="18"/>
        </w:rPr>
        <w:t>https://pubmed.ncbi.nlm.nih.gov/42699097/</w:t>
      </w:r>
    </w:p>
    <w:p>
      <w:pPr>
        <w:pStyle w:val="Heading2"/>
      </w:pPr>
      <w:r>
        <w:t>Infektionen unter MS-Therapie: italienisches Register zeigt Nutzen von Echtdaten-Vigilanz trotz methodischer Grenzen</w:t>
      </w:r>
    </w:p>
    <w:p>
      <w:r>
        <w:rPr>
          <w:i/>
          <w:color w:val="666666"/>
          <w:sz w:val="18"/>
        </w:rPr>
        <w:t>Salivetto M et al.  ·  Pharmacoepidemiol Drug Saf  ·  Aug. 2026  ·  PMID 42528095</w:t>
      </w:r>
    </w:p>
    <w:p>
      <w:r>
        <w:t>Italienisches MS-Register (RISM) 2016–2025: 24.259 Patienten mit krankheitsmodifizierender Therapie, 4.419 (18,2%) mit Klinischen Ereignissen; Infektionen 29,4%, Malignität 3,7%; prospektive Datenqualitätskontrolle implementiert.</w:t>
      </w:r>
    </w:p>
    <w:p>
      <w:r>
        <w:rPr>
          <w:b/>
        </w:rPr>
        <w:t xml:space="preserve">Ergebnis: </w:t>
      </w:r>
      <w:r>
        <w:t>Bei 24.259 Therapieinitiationen 18,2% mit dokumentiertem Ereignis; Infektionsanteil 29,4% aller Events. Stärken: umfassendes Langzeit-Tracking, Patientenperspektive. Grenzen: methodische Herausforderungen bei Sekundärdaten, Meldepflichten variabel, nationale Transferbarkeit eingeschränkt.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(vergleichbares EU-Melderecht), kohortales Design; Struktur relevant für deutsches Klinik-Pharmakovigilance-Register</w:t>
      </w:r>
    </w:p>
    <w:p>
      <w:r>
        <w:rPr>
          <w:color w:val="5A7D3A"/>
          <w:sz w:val="18"/>
        </w:rPr>
        <w:t>https://pubmed.ncbi.nlm.nih.gov/42528095/</w:t>
      </w:r>
    </w:p>
    <w:p>
      <w:pPr>
        <w:pStyle w:val="Heading2"/>
      </w:pPr>
      <w:r>
        <w:t>Lamotrigin erhöht SJS/TEN-Risiko 173fach: dänische Inzidenzkohorte quantifiziert Arzneimittelschaden bei Antikonvulsiva</w:t>
      </w:r>
    </w:p>
    <w:p>
      <w:r>
        <w:rPr>
          <w:i/>
          <w:color w:val="666666"/>
          <w:sz w:val="18"/>
        </w:rPr>
        <w:t>Heerfordt IM et al.  ·  Neurology  ·  11.08.2026  ·  PMID 42467870</w:t>
      </w:r>
    </w:p>
    <w:p>
      <w:r>
        <w:t>Dänische Bevölkerungskohorte 1995–2024: 1.388.397 Antikonvulsiva-Initiationen, 83 SJS/TEN-Fälle in 90 Tagen; Mortalität 17%, Ereignisse konzentriert auf erste Wochen.</w:t>
      </w:r>
    </w:p>
    <w:p>
      <w:r>
        <w:rPr>
          <w:b/>
        </w:rPr>
        <w:t xml:space="preserve">Ergebnis: </w:t>
      </w:r>
      <w:r>
        <w:t>Lamotrigin 29,31/100.000 (95% KI 21,46–39,09); Carbamazepin 16,66 (8,32–29,80); Phenobarbital 15,84; Oxcarbazepin 11,25; Valproat 7,31/100.000. Gabapentinoide deutlich niedriger (Pregabalin 2,26, Gabapentin 1,24). Hintergrund 0,17/100.000. 7% aller SJS/TEN-Fälle Dänemarks antikonvulsiva-assoziiert.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 (Melderegister), Inzidenzkohorte; europäische Baseline für Vergleichbarkeit mit deutschem Arzneimittelrisiko</w:t>
      </w:r>
    </w:p>
    <w:p>
      <w:r>
        <w:rPr>
          <w:color w:val="5A7D3A"/>
          <w:sz w:val="18"/>
        </w:rPr>
        <w:t>https://pubmed.ncbi.nlm.nih.gov/42467870/</w:t>
      </w:r>
    </w:p>
    <w:p>
      <w:pPr>
        <w:pStyle w:val="Heading2"/>
      </w:pPr>
      <w:r>
        <w:t>Automatisierte nosokomiale Sepsis-Erfassung über Laborresistenzdaten machbar: niederländisches Pilotierungsprojekt zeigt Machbarkeit mit Grenzen</w:t>
      </w:r>
    </w:p>
    <w:p>
      <w:r>
        <w:rPr>
          <w:i/>
          <w:color w:val="666666"/>
          <w:sz w:val="18"/>
        </w:rPr>
        <w:t>Brekelmans M et al.  ·  Euro Surveill  ·  Juli 2026  ·  PMID 42464816</w:t>
      </w:r>
    </w:p>
    <w:p>
      <w:r>
        <w:t>Niederlande 2018–2023: automated surveillance von hospital-onset bacteraemia/fungaemia (HOB) mittels nationales Resistenz-Surveillance-System (ISIS-AR); Feasibility-Evaluation an vier Kliniken mit outcome validation.</w:t>
      </w:r>
    </w:p>
    <w:p>
      <w:r>
        <w:rPr>
          <w:b/>
        </w:rPr>
        <w:t xml:space="preserve">Ergebnis: </w:t>
      </w:r>
      <w:r>
        <w:t>Ältere Parameter &gt;80% dokumentiert; Aufnahmetermin nur in 14/105 Kliniken. Outcome-Validierung: sichere HOB-Identifikation bei Nicht-Kommensalen, variable Sensitivität bei Kommensalen (Laborpolitik-abhängig). Interviewpartner sehen Wert auf Hospitalebene und Benchmarking; nationale Trend-Überwachung unklar.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(vergleichbares Versicherungs- und Meldewesen), Sekundärdaten-Nutzung; direkter Transfer auf deutsches Surveillancesystem möglich</w:t>
      </w:r>
    </w:p>
    <w:p>
      <w:r>
        <w:rPr>
          <w:color w:val="5A7D3A"/>
          <w:sz w:val="18"/>
        </w:rPr>
        <w:t>https://pubmed.ncbi.nlm.nih.gov/42464816/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2026-09-09T06:00:00Z</dcterms:created>
  <dcterms:modified xsi:type="dcterms:W3CDTF">2026-09-09T06:00:00Z</dcterms:modified>
  <cp:category/>
</cp:coreProperties>
</file>