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11.09.2026  |  6 Studien  |  safety.m-vf.de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Rapid diagnostik senkt Zeitspanne bei Gram-negativer Sepsis um 14-19 Stunden</w:t>
      </w:r>
    </w:p>
    <w:p>
      <w:r>
        <w:rPr>
          <w:i/>
          <w:color w:val="666666"/>
          <w:sz w:val="18"/>
        </w:rPr>
        <w:t>Benyahia M et al.  ·  PLoS One  ·  10.09.2026  ·  PMID 42721154</w:t>
      </w:r>
    </w:p>
    <w:p>
      <w:r>
        <w:t>Prospektive Studie zur Beschleunigung der Diagnostik bei Gram-negativen Blutstrominfektionen auf Intensivstationen mit molekularen und schnellen Empfindlichkeitsmethoden.</w:t>
      </w:r>
    </w:p>
    <w:p>
      <w:r>
        <w:rPr>
          <w:b/>
        </w:rPr>
        <w:t xml:space="preserve">Ergebnis: </w:t>
      </w:r>
      <w:r>
        <w:t>BioFire BCID2 und Vitek REVEAL reduzierten die Identifikationszeit um 19,0 Stunden und die Empfindlichkeitstestung um 14,9 Stunden bei 50 ICU-Patienten mit Monomikrobium-Infektionen; kategoriale Übereinstimmung mit Standardmethoden 97,7%.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Dokumentationssystem in der Intensivmedizin</w:t>
      </w:r>
    </w:p>
    <w:p>
      <w:r>
        <w:rPr>
          <w:color w:val="5A7D3A"/>
          <w:sz w:val="18"/>
        </w:rPr>
        <w:t>https://pubmed.ncbi.nlm.nih.gov/42721154/</w:t>
      </w:r>
    </w:p>
    <w:p>
      <w:pPr>
        <w:pStyle w:val="Heading2"/>
      </w:pPr>
      <w:r>
        <w:t>Albuminmangel nach E.-coli-Sepsis erhöht Sterblichkeit um 10-fach bei Kindern</w:t>
      </w:r>
    </w:p>
    <w:p>
      <w:r>
        <w:rPr>
          <w:i/>
          <w:color w:val="666666"/>
          <w:sz w:val="18"/>
        </w:rPr>
        <w:t>Cheng J et al.  ·  Ann Med  ·  10.09.2026  ·  PMID 42720514</w:t>
      </w:r>
    </w:p>
    <w:p>
      <w:r>
        <w:t>Retrospektive Kohortenstudie zu Prädiktoren der Krankenhaus-Sterblichkeit bei Kindern mit E.-coli-Blutstrominfektionen, fokussiert auf post-infektiven Albuminmangel.</w:t>
      </w:r>
    </w:p>
    <w:p>
      <w:r>
        <w:rPr>
          <w:b/>
        </w:rPr>
        <w:t xml:space="preserve">Ergebnis: </w:t>
      </w:r>
      <w:r>
        <w:t>Bei 211 Kindern mit E.-coli-Sepsis betrug die Sterblichkeit 12,32%; sekundärer Albuminmangel war nach Kontrolle für Beatmung, PRISM-Score und Zeit bis Nachweis mit Odds Ratio 10,59 (95% KI 1,39-80,91; p&lt;0,05) unabhängig mit Mortalität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außereuropäisch; Struktur der Risikostratifizierung übertragbar</w:t>
      </w:r>
    </w:p>
    <w:p>
      <w:r>
        <w:rPr>
          <w:color w:val="5A7D3A"/>
          <w:sz w:val="18"/>
        </w:rPr>
        <w:t>https://pubmed.ncbi.nlm.nih.gov/42720514/</w:t>
      </w:r>
    </w:p>
    <w:p>
      <w:pPr>
        <w:pStyle w:val="Heading2"/>
      </w:pPr>
      <w:r>
        <w:t>Klinische Antibiotikatiming bei Sepsis folgt Zwei-Achsen-Muster</w:t>
      </w:r>
    </w:p>
    <w:p>
      <w:r>
        <w:rPr>
          <w:i/>
          <w:color w:val="666666"/>
          <w:sz w:val="18"/>
        </w:rPr>
        <w:t>Currey D et al.  ·  Crit Care Explor  ·  01.09.2026  ·  PMID 42720074</w:t>
      </w:r>
    </w:p>
    <w:p>
      <w:r>
        <w:t>Retrospektive Observationsstudie mit maschinellem Lernen zur Validierung eines Dual-Achsen-Modells für Antibiotikatiming bei Verdacht auf Sepsis in 199.062 Notaufnahmen.</w:t>
      </w:r>
    </w:p>
    <w:p>
      <w:r>
        <w:rPr>
          <w:b/>
        </w:rPr>
        <w:t xml:space="preserve">Ergebnis: </w:t>
      </w:r>
      <w:r>
        <w:t>Bei 115.152 Notaufnahmen validiert: Antibiotikatiming folgt kontinuierlichem Gradienten mit Wahrscheinlichkeit von Infektion und physiologischem Schweregrad (Interaktion p=0,0013); verzögertes Timing über Erwartung hinaus assoziiert mit erhöhter 3-Tage-ICU-Rate oder Sterblichkeit (p&lt;0,001).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Sicherheitsbefund zur Entscheidungsfindung unabhängig von System</w:t>
      </w:r>
    </w:p>
    <w:p>
      <w:r>
        <w:rPr>
          <w:color w:val="5A7D3A"/>
          <w:sz w:val="18"/>
        </w:rPr>
        <w:t>https://pubmed.ncbi.nlm.nih.gov/42720074/</w:t>
      </w:r>
    </w:p>
    <w:p>
      <w:pPr>
        <w:pStyle w:val="Heading2"/>
      </w:pPr>
      <w:r>
        <w:t>Ärztliche Entwertung – systematische Definition eines Sicherheitsrisikos</w:t>
      </w:r>
    </w:p>
    <w:p>
      <w:r>
        <w:rPr>
          <w:i/>
          <w:color w:val="666666"/>
          <w:sz w:val="18"/>
        </w:rPr>
        <w:t>Lerch SP et al.  ·  BMC Health Serv Res  ·  08.09.2026  ·  PMID 42717341</w:t>
      </w:r>
    </w:p>
    <w:p>
      <w:r>
        <w:t>Scoping Review zur Begriffsklärung, Messung, Ursachen und Folgen von ärztlicher Entwertung und medizinischem Gaslighting anhand von 158 wissenschaftlichen Arbeiten.</w:t>
      </w:r>
    </w:p>
    <w:p>
      <w:r>
        <w:rPr>
          <w:b/>
        </w:rPr>
        <w:t xml:space="preserve">Ergebnis: </w:t>
      </w:r>
      <w:r>
        <w:t>Erhebliche Inkonsistenz in Definitionen von Entwertung, Nichternstnehmen und Gaslighting; Phänomen ist multifaktoriell (diagnostische Schwierigkeiten, strukturelle Faktoren, Stigma, Wissenlücken); assoziiert mit Verhaltens-, emotionalen, kognitiven, körperlichen und systemischen Schäden; Validierung und Interventionen auf mehreren Ebenen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(Autorin Greifswald), hohes Transferpotenzial für Patientensicherheitsforschung</w:t>
      </w:r>
    </w:p>
    <w:p>
      <w:r>
        <w:rPr>
          <w:color w:val="5A7D3A"/>
          <w:sz w:val="18"/>
        </w:rPr>
        <w:t>https://pubmed.ncbi.nlm.nih.gov/42717341/</w:t>
      </w:r>
    </w:p>
    <w:p>
      <w:pPr>
        <w:pStyle w:val="Heading2"/>
      </w:pPr>
      <w:r>
        <w:t>Antimikrobielles Stewardship für ältere Sepsis-Patienten – Pfad für Ressourcen-begrenzte Länder</w:t>
      </w:r>
    </w:p>
    <w:p>
      <w:r>
        <w:rPr>
          <w:i/>
          <w:color w:val="666666"/>
          <w:sz w:val="18"/>
        </w:rPr>
        <w:t>Jing L et al.  ·  J Infect Dev Ctries  ·  31.08.2026  ·  PMID 42715272</w:t>
      </w:r>
    </w:p>
    <w:p>
      <w:r>
        <w:t>Retrospektive Kohortenstudie zu Gram-negativer Sepsis bei 122 älteren Patienten in Shanghai mit Ziel, einen kosteneffizienten, lokale Resistenzprofile berücksichtigenden Behandlungspfad zu entwickeln.</w:t>
      </w:r>
    </w:p>
    <w:p>
      <w:r>
        <w:rPr>
          <w:b/>
        </w:rPr>
        <w:t xml:space="preserve">Ergebnis: </w:t>
      </w:r>
      <w:r>
        <w:t>Gram-negative Keime dominierten (54,9%); 28-Tage-Mortalität 37,7%; Cefoperazon-Sulbactam-Empfindlichkeit 85,0%; unabhängige Mortalitätsprädiktoren waren Alter (aOR 1,10 pro Jahr), ICU-Aufnahme (aOR 6,65), Beatmung (aOR 5,78), Dialyse (aOR 3,62); entwickelter Karbapenem-sparender Pfad für Stewardship.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Prinzipien zu lokalen Resistenzmustern und Stewardship international übertragbar</w:t>
      </w:r>
    </w:p>
    <w:p>
      <w:r>
        <w:rPr>
          <w:color w:val="5A7D3A"/>
          <w:sz w:val="18"/>
        </w:rPr>
        <w:t>https://pubmed.ncbi.nlm.nih.gov/42715272/</w:t>
      </w:r>
    </w:p>
    <w:p>
      <w:pPr>
        <w:pStyle w:val="Heading2"/>
      </w:pPr>
      <w:r>
        <w:t>Pflegeausfälle führen zu Strafverurteilungen – zehn Urteile analysiert</w:t>
      </w:r>
    </w:p>
    <w:p>
      <w:r>
        <w:rPr>
          <w:i/>
          <w:color w:val="666666"/>
          <w:sz w:val="18"/>
        </w:rPr>
        <w:t>Noacco M et al.  ·  Int J Nurs Stud  ·  24.07.2026  ·  PMID 42526145</w:t>
      </w:r>
    </w:p>
    <w:p>
      <w:r>
        <w:t>Qualitative Dokumentenanalyse von Urteilen des italienischen Obersten Kasationshofes zu Verurteilungen von Pflegepersonen wegen Verwahrlosung oder Verzögerung bei Pflegeleistungen zwischen 2004 und 2022.</w:t>
      </w:r>
    </w:p>
    <w:p>
      <w:r>
        <w:rPr>
          <w:b/>
        </w:rPr>
        <w:t xml:space="preserve">Ergebnis: </w:t>
      </w:r>
      <w:r>
        <w:t>10 Urteile zwischen Dezember 2004 und Oktober 2022; in 8 Fällen trat Patiententod ein, in 2 Fällen Dauerschäden; häufigste Ausfälle waren unzureichende Vitalzeichenüberwachung, postoperative Versorgung, unzureichende Dokumentation, Vernachlässigung von Basispflege; Ausfälle auf Ebenen von Einzelperson, Station und System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anderes Haftungssystem ohne Verschuldensnachweis; Faktoren des Versorgungsausfalls sind relevant</w:t>
      </w:r>
    </w:p>
    <w:p>
      <w:r>
        <w:rPr>
          <w:color w:val="5A7D3A"/>
          <w:sz w:val="18"/>
        </w:rPr>
        <w:t>https://pubmed.ncbi.nlm.nih.gov/42526145/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2026-09-11T06:00:00Z</dcterms:created>
  <dcterms:modified xsi:type="dcterms:W3CDTF">2026-09-11T06:00:00Z</dcterms:modified>
  <cp:category/>
</cp:coreProperties>
</file>