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Patientensicherheit</w:t>
      </w:r>
    </w:p>
    <w:p>
      <w:r>
        <w:rPr>
          <w:i/>
          <w:color w:val="666666"/>
          <w:sz w:val="18"/>
        </w:rPr>
        <w:t>Stand: 20.09.2026  |  6 Studien  |  safety.m-vf.de</w:t>
      </w:r>
    </w:p>
    <w:p>
      <w:pPr>
        <w:pStyle w:val="Heading1"/>
      </w:pPr>
      <w:r>
        <w:t>Aufgenommen am 20.09.2026</w:t>
      </w:r>
    </w:p>
    <w:p>
      <w:pPr>
        <w:pStyle w:val="Heading2"/>
      </w:pPr>
      <w:r>
        <w:t>Selbstbetreuung und Antibiotikaresistenz: Empfehlungen für nationale Programme und Selbstversorger</w:t>
      </w:r>
    </w:p>
    <w:p>
      <w:r>
        <w:rPr>
          <w:i/>
          <w:color w:val="666666"/>
          <w:sz w:val="18"/>
        </w:rPr>
        <w:t>Kiggundu R et al.  ·  Front Public Health  ·  03.09.2026  ·  PMID 42755611</w:t>
      </w:r>
    </w:p>
    <w:p>
      <w:r>
        <w:t>Narrative Übersichtsarbeit untersucht fünf Kernstrategien der Selbstbetreuung zur Eindämmung der Antibiotikaresistenz: Aufklärung, Schnelltests, gelenkte Selbstbehandlung, digitale Selbstüberwachung und strukturiertes Selbstmanagement.</w:t>
      </w:r>
    </w:p>
    <w:p>
      <w:r>
        <w:rPr>
          <w:b/>
        </w:rPr>
        <w:t xml:space="preserve">Ergebnis: </w:t>
      </w:r>
      <w:r>
        <w:t>Selbstbetreuungsstrategien ermöglichen frühe Infektionserkennung, fördern angemessene Antibiotikaanwendung und entlasten Gesundheitssysteme. Implementierung gehindert durch begrenzte Zugang zu zuverlässiger AMR-Information, Missdiagnose-Risiken, Datenschutzbedenken und Verhaltenschwierigkeiten. Policymaker sollten Richtlinienintegration, standardisierte Vorgaben, Regulation und Infrastrukturentwicklung priorisieren.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Leitfaden für LMIC-Kontexte; Übertragbarkeit auf deutsche Strukturen gering</w:t>
      </w:r>
    </w:p>
    <w:p>
      <w:r>
        <w:rPr>
          <w:color w:val="5A7D3A"/>
          <w:sz w:val="18"/>
        </w:rPr>
        <w:t>https://pubmed.ncbi.nlm.nih.gov/42755611/</w:t>
      </w:r>
    </w:p>
    <w:p>
      <w:pPr>
        <w:pStyle w:val="Heading2"/>
      </w:pPr>
      <w:r>
        <w:t>Strukturierter Patientensicherheitskurs erhöht Wissen und systemisches Denken bei ärztlichen Jungfachkräften um signifikante Anteile</w:t>
      </w:r>
    </w:p>
    <w:p>
      <w:r>
        <w:rPr>
          <w:i/>
          <w:color w:val="666666"/>
          <w:sz w:val="18"/>
        </w:rPr>
        <w:t>Qureshi MFH et al.  ·  BMC Med Educ  ·  22.07.2026  ·  PMID 42754882</w:t>
      </w:r>
    </w:p>
    <w:p>
      <w:r>
        <w:t>Quasiexperimentelle Studie untersucht Effektivität eines Qualitäts- und Patientensicherheitsmoduls bei 166 postgraduierten ärztlichen Interns an einem tertären Krankenhaus in Pakistan.</w:t>
      </w:r>
    </w:p>
    <w:p>
      <w:r>
        <w:rPr>
          <w:b/>
        </w:rPr>
        <w:t xml:space="preserve">Ergebnis: </w:t>
      </w:r>
      <w:r>
        <w:t>Signifikante Verbesserungen nach Intervention: Testwissensscores, systemisches Denken und Wissenswirksamkeit verbesserten sich über alle Kohorten (p &lt; 0,001). Verbesserungen besonders ausgeprägt bei Interns ohne vorherige Sicherheitsschulung. Qualitative Reflexionen zeigten verbesserte Zuversicht, Teamarbeit und systemorientierte Perspektiven. Strukturierte Kurse sind wirksam, auch ohne Vorkenntnisse.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Pakistan (LMIC), Modell adaptierbar auf deutsche ärztliche Ausbildung</w:t>
      </w:r>
    </w:p>
    <w:p>
      <w:r>
        <w:rPr>
          <w:color w:val="5A7D3A"/>
          <w:sz w:val="18"/>
        </w:rPr>
        <w:t>https://pubmed.ncbi.nlm.nih.gov/42754882/</w:t>
      </w:r>
    </w:p>
    <w:p>
      <w:pPr>
        <w:pStyle w:val="Heading2"/>
      </w:pPr>
      <w:r>
        <w:t>Antibiofilm-beschichtete Verriegelungsnägel senken Fraktionsinfektion auf 5,8 % bei risikoreichen Knochenbrüchen</w:t>
      </w:r>
    </w:p>
    <w:p>
      <w:r>
        <w:rPr>
          <w:i/>
          <w:color w:val="666666"/>
          <w:sz w:val="18"/>
        </w:rPr>
        <w:t>Vicenti G et al.  ·  J Orthop Traumatol  ·  16.09.2026  ·  PMID 42752738</w:t>
      </w:r>
    </w:p>
    <w:p>
      <w:r>
        <w:t>Observationsstudie untersucht klinische Wirksamkeit einer antibakteriell beschichteten Verriegelungsnagel bei hochrisiko-tibialen und femoralen Frakturen an 103 Patienten.</w:t>
      </w:r>
    </w:p>
    <w:p>
      <w:r>
        <w:rPr>
          <w:b/>
        </w:rPr>
        <w:t xml:space="preserve">Ergebnis: </w:t>
      </w:r>
      <w:r>
        <w:t>Fraktionsinfektion trat in 5,8 % der Fälle auf (6/103 Patienten: 7,3 % tibial, 4,2 % femoral). Alle Infektionen wurden ohne Sepsis oder Amputation erfolgreich behandelt. Knochenbruchverkeilung in 94,5 % tibial und 95,8 % femoral erreicht. Die Beschichtung könnte ein vielversprechender Ansatz sein, erfordert aber prospektive kontrollierte Studien zur Bestätigung.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und deutschsprachiger Raum, vergleichbare Traumatologiestudards</w:t>
      </w:r>
    </w:p>
    <w:p>
      <w:r>
        <w:rPr>
          <w:color w:val="5A7D3A"/>
          <w:sz w:val="18"/>
        </w:rPr>
        <w:t>https://pubmed.ncbi.nlm.nih.gov/42752738/</w:t>
      </w:r>
    </w:p>
    <w:p>
      <w:pPr>
        <w:pStyle w:val="Heading2"/>
      </w:pPr>
      <w:r>
        <w:t>Deterministische und stochastische Interventionen bei Medikamenteninteraktionen: Systemische Grenzen und Hybrid-Ansätze nötig</w:t>
      </w:r>
    </w:p>
    <w:p>
      <w:r>
        <w:rPr>
          <w:i/>
          <w:color w:val="666666"/>
          <w:sz w:val="18"/>
        </w:rPr>
        <w:t>Ahmad Zuber MF et al.  ·  PLoS One  ·  17.09.2026  ·  PMID 42752658</w:t>
      </w:r>
    </w:p>
    <w:p>
      <w:r>
        <w:t>Systematische Übersichtsarbeit evaluiert computergestützte oder klinische Entscheidungsunterstützungs-Interventionen zur Reduktion von Arzneimittelwechselwirkungen oder unangemessener Verschreibung gemäß PRISMA 2020-Richtlinien.</w:t>
      </w:r>
    </w:p>
    <w:p>
      <w:r>
        <w:rPr>
          <w:b/>
        </w:rPr>
        <w:t xml:space="preserve">Ergebnis: </w:t>
      </w:r>
      <w:r>
        <w:t>Zehn Studien eingeschlossen. Frühe deterministische Systeme zeigten bescheidene Verbesserungen bei Verschreibungsprozessen, aber inkonsistente Links zu Patientenergebnissen. Neuere stochastische/generative Modelle berichten starke interne Performance-Metriken, aber hohes Bias-Risiko bei der Validierung, unzureichende externe Validierung, mangelnde Overfitting-Kontrolle. Deterministische Systeme bieten Transparenz, aber keine Anpassung an Patientenkontexte. Hybrid-Architekturen mit validierten stochastischen und erklärbar regelgestützten Komponenten sind erforderlich.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Übersicht, Designprinzipien auf Deutschland anwendbar</w:t>
      </w:r>
    </w:p>
    <w:p>
      <w:r>
        <w:rPr>
          <w:color w:val="5A7D3A"/>
          <w:sz w:val="18"/>
        </w:rPr>
        <w:t>https://pubmed.ncbi.nlm.nih.gov/42752658/</w:t>
      </w:r>
    </w:p>
    <w:p>
      <w:pPr>
        <w:pStyle w:val="Heading2"/>
      </w:pPr>
      <w:r>
        <w:t>Intelligentes Katheter-Warnsystem reduziert ungeplante Extubation um 41 bis 48 Prozent</w:t>
      </w:r>
    </w:p>
    <w:p>
      <w:r>
        <w:rPr>
          <w:i/>
          <w:color w:val="666666"/>
          <w:sz w:val="18"/>
        </w:rPr>
        <w:t>Lu Y et al.  ·  Health Informatics J  ·  17.09.2026  ·  PMID 42752222</w:t>
      </w:r>
    </w:p>
    <w:p>
      <w:r>
        <w:t>Vorher-nachher-Studie in tertärem Krankenhaus evaluiert intelligentes Katheter-Risikowarn-System mit integrierter Pflege, Wartungsübersicht und QR-Patienten-Aufklärung bei 205 Pflegekräften und Patienten mit Katheter.</w:t>
      </w:r>
    </w:p>
    <w:p>
      <w:r>
        <w:rPr>
          <w:b/>
        </w:rPr>
        <w:t xml:space="preserve">Ergebnis: </w:t>
      </w:r>
      <w:r>
        <w:t>Ungeplante Nasenmagen-Schlauch-Entfernung sank von 0,852 ‰ auf 0,501 ‰ (-41 %). Ungeplante Blasenkatheter-Entfernung sank von 0,219 ‰ auf 0,114 ‰ (-48 %). PSSUQ-Scores und Pflegezufriedenheit verbesserten sich signifikant (p &lt; 0,001). Beschriftungsfehler reduzierten sich. System verbessert dokumentierbar Patientensicherheit bei Katheterpflege.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technisches System; Prinzip auf deutsche Kliniken übertragbar</w:t>
      </w:r>
    </w:p>
    <w:p>
      <w:r>
        <w:rPr>
          <w:color w:val="5A7D3A"/>
          <w:sz w:val="18"/>
        </w:rPr>
        <w:t>https://pubmed.ncbi.nlm.nih.gov/42752222/</w:t>
      </w:r>
    </w:p>
    <w:p>
      <w:pPr>
        <w:pStyle w:val="Heading2"/>
      </w:pPr>
      <w:r>
        <w:t>Nosokomiale Infektionen nach Gesichtsverletzungen im Kriegseinsatz: 40,9 % Rate bei 2.631 ukrainischen Patienten</w:t>
      </w:r>
    </w:p>
    <w:p>
      <w:r>
        <w:rPr>
          <w:i/>
          <w:color w:val="666666"/>
          <w:sz w:val="18"/>
        </w:rPr>
        <w:t>Salmanov AG et al.  ·  Wiad Lek  ·  2026  ·  PMID 42748302</w:t>
      </w:r>
    </w:p>
    <w:p>
      <w:r>
        <w:t>Multizentrische prospektive Beobachtungsstudie untersucht nosokomiale Infektionen nach kiefer-oralchirurgischen Verfahren bei Patienten mit kampfbezogenen Kopf- und Halsverletzungen 2022–2025 in der Ukraine.</w:t>
      </w:r>
    </w:p>
    <w:p>
      <w:r>
        <w:rPr>
          <w:b/>
        </w:rPr>
        <w:t xml:space="preserve">Ergebnis: </w:t>
      </w:r>
      <w:r>
        <w:t>Unter 2.631 Patienten entwickelten 40,9 % (1.075) nosokomiale Infektionen. Häufigste Typ: chirurgische Infektionen 54 %, Knochen-Gelenk-Infektionen 14,2 %, Pneumonie 12,2 %, Harnwegsinfektionen 8,6 %, Sepsis 6,6 %. Risikofaktoren: Intensivaufenthalt, Intubation, Katheter. Hohes Infektionsaufkommen unter Bedingungen extremer Verletzungsschwere zeigt Grenzen der Infektionsprävention auf.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Osteuropa unter Kriegsbedingungen, begrenzte Übertragbarkeit auf Standards</w:t>
      </w:r>
    </w:p>
    <w:p>
      <w:r>
        <w:rPr>
          <w:color w:val="5A7D3A"/>
          <w:sz w:val="18"/>
        </w:rPr>
        <w:t>https://pubmed.ncbi.nlm.nih.gov/42748302/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Patientensicherheit</dc:title>
  <dc:subject/>
  <dc:creator>Monitor Versorgungsforschung</dc:creator>
  <cp:keywords/>
  <dc:description>generated by python-docx</dc:description>
  <cp:lastModifiedBy/>
  <cp:revision>1</cp:revision>
  <dcterms:created xsi:type="dcterms:W3CDTF">2026-09-20T06:00:00Z</dcterms:created>
  <dcterms:modified xsi:type="dcterms:W3CDTF">2026-09-20T06:00:00Z</dcterms:modified>
  <cp:category/>
</cp:coreProperties>
</file>