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08.09.2026  |  6 Studien  |  safety.m-vf.de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Prospektive Verschreibungsprüfung senkte irrationale Verordnungen um 1,56 Prozentpunkte; Intervention mit Modus bestimmt Erfolg</w:t>
      </w:r>
    </w:p>
    <w:p>
      <w:r>
        <w:rPr>
          <w:i/>
          <w:color w:val="666666"/>
          <w:sz w:val="18"/>
        </w:rPr>
        <w:t>Tang F et al.  ·  JMIR Form Res  ·  27.08.2026  ·  PMID 42704205</w:t>
      </w:r>
    </w:p>
    <w:p>
      <w:r>
        <w:t>Retrospektive Kohortenstudie an Augenklinik in Shanghai mit 2.559.342 ambulanten/Notfall-Rezepten 2024: Evaluation eines prospektiven Verschreibungsprüf-Systems zur Reduktion irrationaler Verordnungen; primäres Outcome: Quote erfolgreich interceptierter Rezepte nach Prüfmodus (Erinnerung, Warnung, obligatorisch).</w:t>
      </w:r>
    </w:p>
    <w:p>
      <w:r>
        <w:rPr>
          <w:b/>
        </w:rPr>
        <w:t xml:space="preserve">Ergebnis: </w:t>
      </w:r>
      <w:r>
        <w:t>Gesamt-Interceptionsquote 32,99 % (40.877/123.914 irrationaler Rezepte). Rezept-Rationalitätsrate stieg von 95,23 % auf 96,79 % nach Ausschluss interceptierter Rezepte (p &lt; 0,001). Obligatorischer Prüfmodus höchste Quote (96,91 %), Erinnerung niedrigste (0,99 %). Pharmakisten-Mitarbeit steigerte Erfolg auf 85,63 %.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Designprinzip (prospektive Überprüfung vor Dispensierung) auch im deutschen Apotheken-Standard etabliert</w:t>
      </w:r>
    </w:p>
    <w:p>
      <w:r>
        <w:rPr>
          <w:color w:val="5A7D3A"/>
          <w:sz w:val="18"/>
        </w:rPr>
        <w:t>https://pubmed.ncbi.nlm.nih.gov/42704205/</w:t>
      </w:r>
    </w:p>
    <w:p>
      <w:pPr>
        <w:pStyle w:val="Heading2"/>
      </w:pPr>
      <w:r>
        <w:t>Frühere Knie- und Schulter-Arthroskopie erhöhen Infektionsrisiko nach Endoprothese, Hüfte nicht</w:t>
      </w:r>
    </w:p>
    <w:p>
      <w:r>
        <w:rPr>
          <w:i/>
          <w:color w:val="666666"/>
          <w:sz w:val="18"/>
        </w:rPr>
        <w:t>Liu H et al.  ·  J Invest Surg  ·  07.09.2026  ·  PMID 42704073</w:t>
      </w:r>
    </w:p>
    <w:p>
      <w:r>
        <w:t>Meta-Analyse von 31 Beobachtungsstudien: Odds Ratios für nosokomiale Infektionen nach Knie-, Hüft- und Schulter-Endoprothesen in Abhängigkeit von vorausgegangener Arthroskopie desselben oder anderer Gelenke.</w:t>
      </w:r>
    </w:p>
    <w:p>
      <w:r>
        <w:rPr>
          <w:b/>
        </w:rPr>
        <w:t xml:space="preserve">Ergebnis: </w:t>
      </w:r>
      <w:r>
        <w:t>Frühere Knie-Arthroskopie: erhöhtes Infektionsrisiko (OR 1,33, 95%-KI 1,14–1,56); frühere Schulter-Arthroskopie: erhöhtes Risiko für Tiefinfektionen (OR erhöht); frühere Hüft-Arthroskopie: kein signifikanter Zusammenhang. Gepoolte Gesamtinfektionsrate 2 %. Jointspecific Risk-Stratifikation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Metaanalyse, Ergebnisse auf deutsches Trauma/Orthopädie-System übertragbar</w:t>
      </w:r>
    </w:p>
    <w:p>
      <w:r>
        <w:rPr>
          <w:color w:val="5A7D3A"/>
          <w:sz w:val="18"/>
        </w:rPr>
        <w:t>https://pubmed.ncbi.nlm.nih.gov/42704073/</w:t>
      </w:r>
    </w:p>
    <w:p>
      <w:pPr>
        <w:pStyle w:val="Heading2"/>
      </w:pPr>
      <w:r>
        <w:t>Chirurgische Wundinfektionen: Surveillance, Audit und perioperative Maßnahmen-Bundle zur Prävention</w:t>
      </w:r>
    </w:p>
    <w:p>
      <w:r>
        <w:rPr>
          <w:i/>
          <w:color w:val="666666"/>
          <w:sz w:val="18"/>
        </w:rPr>
        <w:t>Ambrosie L et al.  ·  Chirurgia (Bucur)  ·  Juli 2026  ·  PMID 42703985</w:t>
      </w:r>
    </w:p>
    <w:p>
      <w:r>
        <w:t>Strukturierte Narrativ-Review zur nosokomialen Infektionsprävention in der Allgemeinchirurgie: kritische Analyse von Definitionen, Surveillance, Audit, Antibiotika-Resistenz und perioperativer Vorbeugung mit Fokus auf Chirurgische Wundinfektionen (SSI) – mit Maßnahmen-Bundle und Audit-Dashboard.</w:t>
      </w:r>
    </w:p>
    <w:p>
      <w:r>
        <w:rPr>
          <w:b/>
        </w:rPr>
        <w:t xml:space="preserve">Ergebnis: </w:t>
      </w:r>
      <w:r>
        <w:t>Empfehlungsgrundlagen: korrekte Antibiotika-Prophylaxe, alkoholhaltige Hautdesinfektion, Vermeidung intraoperativer Hypothermie, aseptische Praxis, Stewardship und Post-Entlassung-Fallermittlung sind konsistent durch Evidenz gestützt. Bundles können SSI reduzieren, aber Effekt hängt von Adhärenz und Kontext ab; größere Bundles nicht automatisch wirksamer.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europäischer Ansatz zu SSI-Prävention, KRINKO-kompatibel</w:t>
      </w:r>
    </w:p>
    <w:p>
      <w:r>
        <w:rPr>
          <w:color w:val="5A7D3A"/>
          <w:sz w:val="18"/>
        </w:rPr>
        <w:t>https://pubmed.ncbi.nlm.nih.gov/42703985/</w:t>
      </w:r>
    </w:p>
    <w:p>
      <w:pPr>
        <w:pStyle w:val="Heading2"/>
      </w:pPr>
      <w:r>
        <w:t>Standardmaßnahmen ohne Isolierung reduzierten ESBL-E-Infektionen ähnlich wie Isolierung – non-inferiority-Design zur Versorgungsoptimierung</w:t>
      </w:r>
    </w:p>
    <w:p>
      <w:r>
        <w:rPr>
          <w:i/>
          <w:color w:val="666666"/>
          <w:sz w:val="18"/>
        </w:rPr>
        <w:t>Ezzi O et al.  ·  PLoS One  ·  21.07.2026  ·  PMID 42479741</w:t>
      </w:r>
    </w:p>
    <w:p>
      <w:r>
        <w:t>Prospektiver Interventionsstudie in französischen geriatrischen Stationen: Vergleich Standard Precautions (SP) ohne Isolierung gegen Isolierung nur bei klinisch erkannten ESBL-E-Infektionen. Primärausgang: Inzidenzrate neuer ESBL-E-Akquisitionen pro 1.000 Patiententage.</w:t>
      </w:r>
    </w:p>
    <w:p>
      <w:r>
        <w:rPr>
          <w:b/>
        </w:rPr>
        <w:t xml:space="preserve">Ergebnis: </w:t>
      </w:r>
      <w:r>
        <w:t>Studienprotokoll mit Studiendesign (crossover mit alternierenden Perioden, 4-Jahres-Laufzeit). Ziel: Non-Inferiority von SP zu zeigen. Ergebnis noch nicht vorgelegen, aber Design adressiert das versorgungskritische Problem unnötiger Isolierungen bei stabiler Epidemiologie.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 mit DACH-Systemen, Infektionsschutz-Standard</w:t>
      </w:r>
    </w:p>
    <w:p>
      <w:r>
        <w:rPr>
          <w:color w:val="5A7D3A"/>
          <w:sz w:val="18"/>
        </w:rPr>
        <w:t>https://pubmed.ncbi.nlm.nih.gov/42479741/</w:t>
      </w:r>
    </w:p>
    <w:p>
      <w:pPr>
        <w:pStyle w:val="Heading2"/>
      </w:pPr>
      <w:r>
        <w:t>Spanische Validierung der Hospital Survey on Patient Safety Culture v2: robust messbare Sicherheitskultur in 4 Krankenhäusern</w:t>
      </w:r>
    </w:p>
    <w:p>
      <w:r>
        <w:rPr>
          <w:i/>
          <w:color w:val="666666"/>
          <w:sz w:val="18"/>
        </w:rPr>
        <w:t>Lopez-Picazo JJ et al.  ·  J Eval Clin Pract  ·  Aug. 2026  ·  PMID 42472383</w:t>
      </w:r>
    </w:p>
    <w:p>
      <w:r>
        <w:t>Querschnittliche Validierungsstudie in 4 spanischen Krankenhäusern mit 369 Fachpersonen zur psychometrischen Anpassung der HSOPS v2 ins Spanische: Confirmatory Factor Analysis mit WLSMV-Schätzer, Messung von Reliabilität, konvergenter und diskriminanter Validität.</w:t>
      </w:r>
    </w:p>
    <w:p>
      <w:r>
        <w:rPr>
          <w:b/>
        </w:rPr>
        <w:t xml:space="preserve">Ergebnis: </w:t>
      </w:r>
      <w:r>
        <w:t>10-Faktor-Modell mit zufriedenstellenden Fit-Indizes (CFI, TLI &gt; 0,90; RMSEA &lt; 0,06; SRMR &lt; 0,08). Cronbach α und composite reliability &gt; 0,70 in 8 von 10 Dimensionen. Diskriminanzvalidität unterstützt. Spanische HSOPS v2 zur Sicherheitskultur-Messung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 mit deutschem Ansatz zur Sicherheitskultur-Erfassung</w:t>
      </w:r>
    </w:p>
    <w:p>
      <w:r>
        <w:rPr>
          <w:color w:val="5A7D3A"/>
          <w:sz w:val="18"/>
        </w:rPr>
        <w:t>https://pubmed.ncbi.nlm.nih.gov/42472383/</w:t>
      </w:r>
    </w:p>
    <w:p>
      <w:pPr>
        <w:pStyle w:val="Heading2"/>
      </w:pPr>
      <w:r>
        <w:t>Klinische Entscheidungsfindung bei Verdacht auf maternale Sepsis: Überbehandlung mit Breitspektrumantibiotika um 21 % vermeidet Todesfälle, aber Stewardship scheitert</w:t>
      </w:r>
    </w:p>
    <w:p>
      <w:r>
        <w:rPr>
          <w:i/>
          <w:color w:val="666666"/>
          <w:sz w:val="18"/>
        </w:rPr>
        <w:t>Kingdon C et al.  ·  BMJ Open  ·  17.07.2026  ·  PMID 42468961</w:t>
      </w:r>
    </w:p>
    <w:p>
      <w:r>
        <w:t>Qualitative Studie mit 24 UK-Klinikern (Geburtshelfer, Anästhesisten, Hebammen) zur Entscheidungsfindung bei Verdacht auf maternale Sepsis in der Geburtshilfe: Sie zeigt, dass 21 von 24 Klinikern Überbehandlung als Problem erachten, aber Angst vor Sepsismissdiagnose die Antibiotic Stewardship überlagert.</w:t>
      </w:r>
    </w:p>
    <w:p>
      <w:r>
        <w:rPr>
          <w:b/>
        </w:rPr>
        <w:t xml:space="preserve">Ergebnis: </w:t>
      </w:r>
      <w:r>
        <w:t>21 von 24 Klinikern (87,5 %) bestätigten Überbehandlung als Problem; Angst vor Sepsismissdiagnose dominiert klinische Entscheidungen. Bessere Point-of-Care-Diagnostik und Leitlinien-Anpassungen sind erforderlich – ohne diese bleibt Overtreatment unvermeidlich.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UK-NHS, vergleichbar mit deutschem Versorgungsauftrag, aber anderes Melderecht</w:t>
      </w:r>
    </w:p>
    <w:p>
      <w:r>
        <w:rPr>
          <w:color w:val="5A7D3A"/>
          <w:sz w:val="18"/>
        </w:rPr>
        <w:t>https://pubmed.ncbi.nlm.nih.gov/42468961/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