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30.10.2026  |  6 Studien  |  safety.m-vf.de</w:t>
      </w:r>
    </w:p>
    <w:p>
      <w:pPr>
        <w:pStyle w:val="Heading1"/>
      </w:pPr>
      <w:r>
        <w:t>Aufgenommen am 30.10.2026</w:t>
      </w:r>
    </w:p>
    <w:p>
      <w:pPr>
        <w:pStyle w:val="Heading2"/>
      </w:pPr>
      <w:r>
        <w:t>Proportionale Antibiotika-Therapie in pädiatrischer Palliativmedizin: praktisches Entscheidungsrahmenwerk</w:t>
      </w:r>
    </w:p>
    <w:p>
      <w:r>
        <w:rPr>
          <w:i/>
          <w:color w:val="666666"/>
          <w:sz w:val="18"/>
        </w:rPr>
        <w:t>Bucci LM et al.  ·  Eur J Pediatr  ·  29.10.2026  ·  PMID 42955405</w:t>
      </w:r>
    </w:p>
    <w:p>
      <w:r>
        <w:t>Narrative Übersichtsarbeit zur antimikrobiellen Therapie im pädiatrischen Sterbeprozess mit Synthese der Evidenz, Unterscheidung von Erwachsenen-Daten und operativem Rahmen für Entscheidungsfindung.</w:t>
      </w:r>
    </w:p>
    <w:p>
      <w:r>
        <w:rPr>
          <w:b/>
        </w:rPr>
        <w:t xml:space="preserve">Ergebnis: </w:t>
      </w:r>
      <w:r>
        <w:t>Verfügbare Evidenz deutet darauf hin, dass Antimikrobika proportional sind, wenn symptomatischer Nutzen plausibel, wahrnehmbar und mit Versorgungszielen abgestimmt ist. Direkte pädiatrische Evidenz ist spärlich und meist deskriptiv. Wiederholte Prinzipien: keine automatische Verschreibung, Versorgungsziel definieren, am wenigsten belastende Option, Rationale dokumentieren, Reassessment alle 48–72 h. Schlüsselfrage: ob Behandlung Komfort bedeutsam verbessert, nicht nur ob Infektion vorliegt.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Pädiatrische Palliativmedizin Deutschland und Deutschsprachiger Raum; direkt anwendbares Entscheidungsrahmenwerk.</w:t>
      </w:r>
    </w:p>
    <w:p>
      <w:r>
        <w:rPr>
          <w:color w:val="5A7D3A"/>
          <w:sz w:val="18"/>
        </w:rPr>
        <w:t>https://pubmed.ncbi.nlm.nih.gov/42955405/</w:t>
      </w:r>
    </w:p>
    <w:p>
      <w:pPr>
        <w:pStyle w:val="Heading2"/>
      </w:pPr>
      <w:r>
        <w:t>PEPE-MDR-Score validiert: Vorhersage von Multiresistenzen auf Pädiatrischen Intensivstationen</w:t>
      </w:r>
    </w:p>
    <w:p>
      <w:r>
        <w:rPr>
          <w:i/>
          <w:color w:val="666666"/>
          <w:sz w:val="18"/>
        </w:rPr>
        <w:t>González-Anleo C et al.  ·  Eur J Pediatr  ·  28.10.2026  ·  PMID 42955402</w:t>
      </w:r>
    </w:p>
    <w:p>
      <w:r>
        <w:t>Externe Validierung eines Vorhersagescores für Multiresistenz bei Katheter- und Beatmungsgeräte-Infektionen in pädiatrischen Intensivstationen anhand nationaler Daten.</w:t>
      </w:r>
    </w:p>
    <w:p>
      <w:r>
        <w:rPr>
          <w:b/>
        </w:rPr>
        <w:t xml:space="preserve">Ergebnis: </w:t>
      </w:r>
      <w:r>
        <w:t>In 406 Infektionen (22,9 % durch MDR verursacht) zeigte der Score AUC 0,69 (95%-KI 0,62–0,75). Mit hohem Risikoschwelle: Sensitivität 46,2 %, Spezifität 79,9 %; Kombination mittleres+hohes Risiko erhöhte Sensitivität auf 77,4 % (Spezifität 47,0 %). Score verbesserte Risikostratifikation und unterstützte Antibiotika-Entscheidungsfindung nach Rekalibrierung.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ENVIN-HELICS Multizenter-Registry; vergleichbar mit deutschen PICU-Daten und Resistenz-Surveillance.</w:t>
      </w:r>
    </w:p>
    <w:p>
      <w:r>
        <w:rPr>
          <w:color w:val="5A7D3A"/>
          <w:sz w:val="18"/>
        </w:rPr>
        <w:t>https://pubmed.ncbi.nlm.nih.gov/42955402/</w:t>
      </w:r>
    </w:p>
    <w:p>
      <w:pPr>
        <w:pStyle w:val="Heading2"/>
      </w:pPr>
      <w:r>
        <w:t>Kontinuierliche Luftdesinfektion auf NICU: reduzierte Keimbelastung, aber kein signifikanter Effekt auf nosokomiale Infektionen</w:t>
      </w:r>
    </w:p>
    <w:p>
      <w:r>
        <w:rPr>
          <w:i/>
          <w:color w:val="666666"/>
          <w:sz w:val="18"/>
        </w:rPr>
        <w:t>Kola SVT et al.  ·  Eur J Pediatr  ·  29.10.2026  ·  PMID 42955094</w:t>
      </w:r>
    </w:p>
    <w:p>
      <w:r>
        <w:t>Quasi-experimentelle Vorher-Nachher-Studie zur Auswirkung eines kontinuierlichen Luftsterilisationssystems auf HAIs, MDRO-Kolonisierung und Keimbelastung auf einer Level-III-NICU.</w:t>
      </w:r>
    </w:p>
    <w:p>
      <w:r>
        <w:rPr>
          <w:b/>
        </w:rPr>
        <w:t xml:space="preserve">Ergebnis: </w:t>
      </w:r>
      <w:r>
        <w:t>Bei 698 Neugeborenen (367 präintervention, 331 postintervention): definite HAI 5,2 % vs. 6,3 % (p=0,611), wahrscheinliche HAI 2,5 % vs. 5,1 % (p=0,094), jede HAI 7,4 % vs. 9,7 % (p=0,332). Nach Adjustierung für GA und Geburtsgewicht aOR 1,05 (95%-KI 0,58–1,91). Neue MDRO-Kolonisierung vergleichbar (6,0 % vs. 7,0 %, p=0,713). Luftkeimbelastung signifikant reduziert. Kausale Effekte auf klinische Ergebnisse unbewiesen ohne Kontrollierungsbias.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Indien; Infektionsprävention auf NICUs; Studie war unterpowert für sehr große Effekte.</w:t>
      </w:r>
    </w:p>
    <w:p>
      <w:r>
        <w:rPr>
          <w:color w:val="5A7D3A"/>
          <w:sz w:val="18"/>
        </w:rPr>
        <w:t>https://pubmed.ncbi.nlm.nih.gov/42955094/</w:t>
      </w:r>
    </w:p>
    <w:p>
      <w:pPr>
        <w:pStyle w:val="Heading2"/>
      </w:pPr>
      <w:r>
        <w:t>Medikationsabstimmung bei Hämodialysepatienten: Abweichungen in 33 % durch Klinikum-Apotheker erkannt und geklärt</w:t>
      </w:r>
    </w:p>
    <w:p>
      <w:r>
        <w:rPr>
          <w:i/>
          <w:color w:val="666666"/>
          <w:sz w:val="18"/>
        </w:rPr>
        <w:t>David A et al.  ·  Nephrol Ther  ·  29.10.2026  ·  PMID 42954264</w:t>
      </w:r>
    </w:p>
    <w:p>
      <w:r>
        <w:t>Retrospektive Einzelzentrumstudie zur Medikationsabstimmung und klinischen Pharmazie-Bewertung bei chronischen Hämodialysepatienten zur Verbesserung der Therapieoptimierung zwischen stationärer und ambulanter Versorgung.</w:t>
      </w:r>
    </w:p>
    <w:p>
      <w:r>
        <w:rPr>
          <w:b/>
        </w:rPr>
        <w:t xml:space="preserve">Ergebnis: </w:t>
      </w:r>
      <w:r>
        <w:t>Medikamentöse Abweichungen bei 33 % der Patienten mit ambulanter Nachsorge; 75 % hatten mindestens klinischen Minorimpact (CLEO-Skala). Optimierungsvorschläge für 69 Patienten mit 93 % Akzeptanzrate durch Nephrologen. Anteil potenziell unangemessener Medikationen sank signifikant nach Intervention (p&lt;0,05). Klinische Pharmazie reduzierte Medikationsfehler.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Frankreich; Polymedikation und Koordination Krankenhaus-Praxis vergleichbar mit Deutschland.</w:t>
      </w:r>
    </w:p>
    <w:p>
      <w:r>
        <w:rPr>
          <w:color w:val="5A7D3A"/>
          <w:sz w:val="18"/>
        </w:rPr>
        <w:t>https://pubmed.ncbi.nlm.nih.gov/42954264/</w:t>
      </w:r>
    </w:p>
    <w:p>
      <w:pPr>
        <w:pStyle w:val="Heading2"/>
      </w:pPr>
      <w:r>
        <w:t>Akute Hautdysfunktion bei Sepsis: gepoolte Inzidenz 45 %, Laktat und SOFA-Score als Risikofaktoren</w:t>
      </w:r>
    </w:p>
    <w:p>
      <w:r>
        <w:rPr>
          <w:i/>
          <w:color w:val="666666"/>
          <w:sz w:val="18"/>
        </w:rPr>
        <w:t>Wang W et al.  ·  Front Public Health  ·  14.10.2026  ·  PMID 42953236</w:t>
      </w:r>
    </w:p>
    <w:p>
      <w:r>
        <w:t>Systematische Übersicht und Metaanalyse von 18 Beobachtungsstudien (3.295 Patienten) zu Akute-Hautdysfunktion (ASF) bei Sepsis mit Identifikation von Risikofaktoren.</w:t>
      </w:r>
    </w:p>
    <w:p>
      <w:r>
        <w:rPr>
          <w:b/>
        </w:rPr>
        <w:t xml:space="preserve">Ergebnis: </w:t>
      </w:r>
      <w:r>
        <w:t>Gepoolte ASF-Inzidenz 45,2 % (95%-KI 34,5–56,2 %). Erhöhtes arterielles Laktat (OR 1,20 pro Einheit, 95%-KI 1,15–1,25), höherer SOFA-Score (OR 1,23, 95%-KI 1,16–1,31) und APACHE-II-Score (OR 1,16, 95%-KI 1,10–1,21) waren mit erhöhtem ASF-Risiko assoziiert; niedrigerer MAP mit ASF (OR 0,94). Leave-One-Out-Analysen bestätigten Robustheit, keine publikationsbias-Effekte (Egger p=0,467).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Sepsis-Erkennungsmarker für deutsche ICUs, prospektive Validierung erforderlich.</w:t>
      </w:r>
    </w:p>
    <w:p>
      <w:r>
        <w:rPr>
          <w:color w:val="5A7D3A"/>
          <w:sz w:val="18"/>
        </w:rPr>
        <w:t>https://pubmed.ncbi.nlm.nih.gov/42953236/</w:t>
      </w:r>
    </w:p>
    <w:p>
      <w:pPr>
        <w:pStyle w:val="Heading2"/>
      </w:pPr>
      <w:r>
        <w:t>AMR-Überwachung in Ländern mit mittlerem Einkommen senkte Infektionen durch bessere Stewardship</w:t>
      </w:r>
    </w:p>
    <w:p>
      <w:r>
        <w:rPr>
          <w:i/>
          <w:color w:val="666666"/>
          <w:sz w:val="18"/>
        </w:rPr>
        <w:t>Drake A et al.  ·  Clin Infect Dis  ·  19.10.2026  ·  PMID 42895836</w:t>
      </w:r>
    </w:p>
    <w:p>
      <w:r>
        <w:t>Analyse der Nutzung von Antibiotikaresistenz-Überwachungsdaten in Afrika und Asien 2018–2026 zur Verbesserung von Behandlungsrichtlinien und Stewardship-Praktiken.</w:t>
      </w:r>
    </w:p>
    <w:p>
      <w:r>
        <w:rPr>
          <w:b/>
        </w:rPr>
        <w:t xml:space="preserve">Ergebnis: </w:t>
      </w:r>
      <w:r>
        <w:t>Datennutzung war auf Einrichtungsebene am stärksten; auf nationaler Ebene führten Fleming-Fund-Investitionen zu Überarbeitungen von Therapieleitlinien, Aktualisierungen von Arzneimittellisten und regulatorischen Maßnahmen. Dezentralisierte Systeme nutzten Daten auf subnationaler Ebene. Überwachung inform ierte Maßnahmen, wenn Datennutzung ins Systemdesign eingebunden war.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Multiple Länder Afrikas und Asiens; übertragbar auf deutsche Surveillance-Governance und Stewardship-Integration auf Kliniken- und Landesebene.</w:t>
      </w:r>
    </w:p>
    <w:p>
      <w:r>
        <w:rPr>
          <w:color w:val="5A7D3A"/>
          <w:sz w:val="18"/>
        </w:rPr>
        <w:t>https://pubmed.ncbi.nlm.nih.gov/42895836/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2026-10-30T06:00:00Z</dcterms:created>
  <dcterms:modified xsi:type="dcterms:W3CDTF">2026-10-30T06:00:00Z</dcterms:modified>
  <cp:category/>
</cp:coreProperties>
</file>