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22.10.2026  |  354 Studien  |  safety.m-vf.de</w:t>
      </w:r>
    </w:p>
    <w:p>
      <w:pPr>
        <w:pStyle w:val="Heading1"/>
      </w:pPr>
      <w:r>
        <w:t>Aufgenommen am 22.10.2026</w:t>
      </w:r>
    </w:p>
    <w:p>
      <w:pPr>
        <w:pStyle w:val="Heading2"/>
      </w:pPr>
      <w:r>
        <w:t>Klinisch komplexe Patienten daheim versorgt: Hospital-at-home senkte Wiederaufnahmen von 11 % auf 7 %</w:t>
      </w:r>
    </w:p>
    <w:p>
      <w:r>
        <w:rPr>
          <w:i/>
          <w:color w:val="666666"/>
          <w:sz w:val="18"/>
        </w:rPr>
        <w:t>Hägi-Pedersen MB et al.  ·  BMC Health Serv Res  ·  24.07.2026  ·  PMID 42902350</w:t>
      </w:r>
    </w:p>
    <w:p>
      <w:r>
        <w:t>Dänische Studie zur Sicherheit eines regionalen Hospital-at-home-Modells, das Patienten mit Komorbiditäten einschließlich Infektionserkrankungen in privaten Häusern mit Pflegepersonal und mobilen Behandlungsteams versorgte.</w:t>
      </w:r>
    </w:p>
    <w:p>
      <w:r>
        <w:rPr>
          <w:b/>
        </w:rPr>
        <w:t xml:space="preserve">Ergebnis: </w:t>
      </w:r>
      <w:r>
        <w:t>Bei 2.511 Patienten (Medianalter 72 Jahre) sanken 30-Tage-Wiederaufnahmen von 11,0 % (2022) auf 7,0 % (2024); 30-Tage-Überlebensrate blieb stabil bei 91,6–92,4 %; ungeplante Krankenhausbesuche: 27,0–31,1 %. Infektionskrankheiten waren häufigster Grund (43–47 %). Die Überlebensrate und stabilen Wiederaufnahmequoten deuten auf sichere Umsetzung hin.</w:t>
      </w:r>
    </w:p>
    <w:p>
      <w:r>
        <w:rPr>
          <w:b/>
          <w:sz w:val="19"/>
        </w:rPr>
        <w:t xml:space="preserve">Übertragbarkeit: </w:t>
      </w:r>
      <w:r>
        <w:rPr>
          <w:sz w:val="19"/>
        </w:rPr>
        <w:t>Dänemark (vergleichbares Sozialversicherungssystem, aber anderes Meldrecht); Übertragbarkeit auf Deutschland liegt vor, erfordert aber Beachtung der Unterschiede im Entschädigungsrecht.</w:t>
      </w:r>
    </w:p>
    <w:p>
      <w:r>
        <w:rPr>
          <w:color w:val="5A7D3A"/>
          <w:sz w:val="18"/>
        </w:rPr>
        <w:t>https://pubmed.ncbi.nlm.nih.gov/42902350/</w:t>
      </w:r>
    </w:p>
    <w:p>
      <w:pPr>
        <w:pStyle w:val="Heading2"/>
      </w:pPr>
      <w:r>
        <w:t>Negative-Pressure-Wundtherapie senkt Infektionen nach Notfall-Laparotomien um 47 %</w:t>
      </w:r>
    </w:p>
    <w:p>
      <w:r>
        <w:rPr>
          <w:i/>
          <w:color w:val="666666"/>
          <w:sz w:val="18"/>
        </w:rPr>
        <w:t>Rey Chaves CE et al.  ·  World J Emerg Surg  ·  24.07.2026  ·  PMID 42902330</w:t>
      </w:r>
    </w:p>
    <w:p>
      <w:r>
        <w:t>Systematische Übersichtsarbeit und Metaanalyse von 23 Studien mit 5.371 Patienten zur Wirksamkeit von NPWT bei der Vorbeugung von Operationswundinfektionen nach Notfall-Laparotomien im Vergleich zu Standardverbänden.</w:t>
      </w:r>
    </w:p>
    <w:p>
      <w:r>
        <w:rPr>
          <w:b/>
        </w:rPr>
        <w:t xml:space="preserve">Ergebnis: </w:t>
      </w:r>
      <w:r>
        <w:t>NPWT war mit signifikant niedrigerem Infektionsrisiko assoziiert (RR 0,53; 95%-KI 0,41–0,68). Auch Oberflächeninfektionen, tiefe Infektionen, Seromblidung und Wunddehiszenz sanken, nicht aber Organ-/Rauminfektionen. Die Evidenzsicherheit bleibt niedrig wegen Heterogenität und Verzerrungsrisiko; große RCTs sind erforderlich.</w:t>
      </w:r>
    </w:p>
    <w:p>
      <w:r>
        <w:rPr>
          <w:b/>
          <w:sz w:val="19"/>
        </w:rPr>
        <w:t xml:space="preserve">Übertragbarkeit: </w:t>
      </w:r>
      <w:r>
        <w:rPr>
          <w:sz w:val="19"/>
        </w:rPr>
        <w:t>Multinationale Evidenz; Befund unabhängig von Gesundheitssystem, aber Gewichtung der Kosten erfordert deutsche Daten.</w:t>
      </w:r>
    </w:p>
    <w:p>
      <w:r>
        <w:rPr>
          <w:color w:val="5A7D3A"/>
          <w:sz w:val="18"/>
        </w:rPr>
        <w:t>https://pubmed.ncbi.nlm.nih.gov/42902330/</w:t>
      </w:r>
    </w:p>
    <w:p>
      <w:pPr>
        <w:pStyle w:val="Heading2"/>
      </w:pPr>
      <w:r>
        <w:t>Infektionsprävention-Adhärenz stieg von 70,6 % auf 75,4 % nach gezieltem Personal-Training</w:t>
      </w:r>
    </w:p>
    <w:p>
      <w:r>
        <w:rPr>
          <w:i/>
          <w:color w:val="666666"/>
          <w:sz w:val="18"/>
        </w:rPr>
        <w:t>Sofan JA et al.  ·  BMC Health Serv Res  ·  22.07.2026  ·  PMID 42902259</w:t>
      </w:r>
    </w:p>
    <w:p>
      <w:r>
        <w:t>Querschnittsstudie in 2 Mutter-Kind-Krankenhäusern (jemeni Hauptstadt) mit 71 Mitarbeitern zur Bewertung der Umsetzung, Wissenslücken und Adhärenz bei Infektionsprävention und -kontrolle sowie assoziierte Faktoren.</w:t>
      </w:r>
    </w:p>
    <w:p>
      <w:r>
        <w:rPr>
          <w:b/>
        </w:rPr>
        <w:t xml:space="preserve">Ergebnis: </w:t>
      </w:r>
      <w:r>
        <w:t>Private Klinik: Adhärenz 75,4 %; öffentlich 70,6 % (p = 0,003). Wissensstand moderat (öffentlich 75,5 %, privat 77,9 %). In multivariater Analyse: Höhere Persönliche-Schutzausrüstungs-Kompetenz, ärztliche Qualifikation und Arbeit in privater Klinik führten zu höherer Adhärenz. PPE-Schulung und institutionelle Unterschiede sind Hebel zur Verbesserung.</w:t>
      </w:r>
    </w:p>
    <w:p>
      <w:r>
        <w:rPr>
          <w:b/>
          <w:sz w:val="19"/>
        </w:rPr>
        <w:t xml:space="preserve">Übertragbarkeit: </w:t>
      </w:r>
      <w:r>
        <w:rPr>
          <w:sz w:val="19"/>
        </w:rPr>
        <w:t>Jemen (weniger vergleichbares System); Befund zu Trainingseffektivität auf Deutschland übertragbar.</w:t>
      </w:r>
    </w:p>
    <w:p>
      <w:r>
        <w:rPr>
          <w:color w:val="5A7D3A"/>
          <w:sz w:val="18"/>
        </w:rPr>
        <w:t>https://pubmed.ncbi.nlm.nih.gov/42902259/</w:t>
      </w:r>
    </w:p>
    <w:p>
      <w:pPr>
        <w:pStyle w:val="Heading2"/>
      </w:pPr>
      <w:r>
        <w:t>Carbapenem-Resistenz bei Enterobacterales stieg während COVID-19 in Intensivstationen</w:t>
      </w:r>
    </w:p>
    <w:p>
      <w:r>
        <w:rPr>
          <w:i/>
          <w:color w:val="666666"/>
          <w:sz w:val="18"/>
        </w:rPr>
        <w:t>Bayram S et al.  ·  BMC Infect Dis  ·  24.07.2026  ·  PMID 42902233</w:t>
      </w:r>
    </w:p>
    <w:p>
      <w:r>
        <w:t>Retrospektive Kohortenstudie mit 388 Patienten an einer türkischen Universitätsklinik zum Vergleich von Erregerspektrum und Antibiotikaresistenz bei Blutkultur-Infektionen vor (März 2019) und während (bis April 2021) der COVID-19-Pandemie.</w:t>
      </w:r>
    </w:p>
    <w:p>
      <w:r>
        <w:rPr>
          <w:b/>
        </w:rPr>
        <w:t xml:space="preserve">Ergebnis: </w:t>
      </w:r>
      <w:r>
        <w:t>Prädominante Erreger blieben K. pneumoniae (30,1 % vs. 34,4 %), A. baumannii-Komplex (21,9 % vs. 21,2 %), aber E. faecium stieg (6,2 % vs. 10,4 %). ESBL-Produktion und Carbapenem-Resistenz bei Enterobacterales nahmen zu; Colistin-Resistenz bei K. pneumoniae stieg signifikant. Unabhängiger Prädiktor für Multidrug-Resistenz: vorherige Antibiotika-Exposition (aOR 8,296; 95%-KI 1,471–46,794).</w:t>
      </w:r>
    </w:p>
    <w:p>
      <w:r>
        <w:rPr>
          <w:b/>
          <w:sz w:val="19"/>
        </w:rPr>
        <w:t xml:space="preserve">Übertragbarkeit: </w:t>
      </w:r>
      <w:r>
        <w:rPr>
          <w:sz w:val="19"/>
        </w:rPr>
        <w:t>Türkei, vergleichbare Klinikstruktur; lokal spezifische Resistenzmuster wichtig für deutsche Stewardship-Strategien.</w:t>
      </w:r>
    </w:p>
    <w:p>
      <w:r>
        <w:rPr>
          <w:color w:val="5A7D3A"/>
          <w:sz w:val="18"/>
        </w:rPr>
        <w:t>https://pubmed.ncbi.nlm.nih.gov/42902233/</w:t>
      </w:r>
    </w:p>
    <w:p>
      <w:pPr>
        <w:pStyle w:val="Heading2"/>
      </w:pPr>
      <w:r>
        <w:t>Ernährungsstatus vorhersagt Sterblichkeit bei Sepsis: CONUT-Score mit AUC 0,773</w:t>
      </w:r>
    </w:p>
    <w:p>
      <w:r>
        <w:rPr>
          <w:i/>
          <w:color w:val="666666"/>
          <w:sz w:val="18"/>
        </w:rPr>
        <w:t>Song W et al.  ·  BMC Infect Dis  ·  23.07.2026  ·  PMID 42902191</w:t>
      </w:r>
    </w:p>
    <w:p>
      <w:r>
        <w:t>Retrospektive Kohortenstudie mit 2.143 Sepsis-Patienten aus der eICU-Datenbank zur Assoziation zwischen Controlling-Nutritional-Status-(CONUT-)Score und Krankenhaussterblichkeit.</w:t>
      </w:r>
    </w:p>
    <w:p>
      <w:r>
        <w:rPr>
          <w:b/>
        </w:rPr>
        <w:t xml:space="preserve">Ergebnis: </w:t>
      </w:r>
      <w:r>
        <w:t>Krankenhaussterblichkeit stieg progressiv: Mild-Malnutrition 8,13 %, Moderat 16,14 %, Schwer 23,27 % (p &lt; 0,001). Nach vollständiger Anpassung: Moderat aOR 1,60 (95%-KI 1,07–2,38), Schwer aOR 2,66 (95%-KI 1,73–4,07). Jeder Punkt CONUT-Anstieg: aOR 1,15 (95%-KI 1,09–1,21). AUC 0,773 (95%-KI 0,747–0,799) zeigt gute Diskriminationsfähigkeit.</w:t>
      </w:r>
    </w:p>
    <w:p>
      <w:r>
        <w:rPr>
          <w:b/>
          <w:sz w:val="19"/>
        </w:rPr>
        <w:t xml:space="preserve">Übertragbarkeit: </w:t>
      </w:r>
      <w:r>
        <w:rPr>
          <w:sz w:val="19"/>
        </w:rPr>
        <w:t>Internationale Kohortendatenbank; Befund versorgungsübergreifend und auf Deutschland übertragbar.</w:t>
      </w:r>
    </w:p>
    <w:p>
      <w:r>
        <w:rPr>
          <w:color w:val="5A7D3A"/>
          <w:sz w:val="18"/>
        </w:rPr>
        <w:t>https://pubmed.ncbi.nlm.nih.gov/42902191/</w:t>
      </w:r>
    </w:p>
    <w:p>
      <w:pPr>
        <w:pStyle w:val="Heading2"/>
      </w:pPr>
      <w:r>
        <w:t>Push-Dose-Noradrenalin in Notaufnahme: Blutdruck stieg innerhalb 1 Minute, keine schweren Ereignisse</w:t>
      </w:r>
    </w:p>
    <w:p>
      <w:r>
        <w:rPr>
          <w:i/>
          <w:color w:val="666666"/>
          <w:sz w:val="18"/>
        </w:rPr>
        <w:t>Yamamoto A et al.  ·  BMC Emerg Med  ·  19.09.2026  ·  PMID 42902161</w:t>
      </w:r>
    </w:p>
    <w:p>
      <w:r>
        <w:t>Retrospektive Studie an japanischer Universitätsklinik mit 91 Sepsis-Schock-Patienten, davon 50 mit Push-Dose-Noradrenalin (PDNA) in der Notaufnahme, zur Untersuchung von Einsatzkontext, Dosierung, früher hämodynamischer Reaktion und Sicherheit.</w:t>
      </w:r>
    </w:p>
    <w:p>
      <w:r>
        <w:rPr>
          <w:b/>
        </w:rPr>
        <w:t xml:space="preserve">Ergebnis: </w:t>
      </w:r>
      <w:r>
        <w:t>PDNA-Anwendung in 55 % der Fälle. Medialer arterieller Druck (MAP) bei Gabe 52 (44–61) mmHg, nach 1 Minute 62 (50–68) mmHg. Während 15-Minuten-Beobachtung: 64 % erhielten 1 Bolus, 28 % 2, 6 % 3, 2 % 4. Ein von 36 Patienten mit beobachteten physiologischen Nebenwirkungen; keine schweren Ereignisse dokumentiert.</w:t>
      </w:r>
    </w:p>
    <w:p>
      <w:r>
        <w:rPr>
          <w:b/>
          <w:sz w:val="19"/>
        </w:rPr>
        <w:t xml:space="preserve">Übertragbarkeit: </w:t>
      </w:r>
      <w:r>
        <w:rPr>
          <w:sz w:val="19"/>
        </w:rPr>
        <w:t>Japan (Universitätsklinik); Struktur vergleichbar, aber Studiendesign nicht-vergleichend und kleine Stichprobe.</w:t>
      </w:r>
    </w:p>
    <w:p>
      <w:r>
        <w:rPr>
          <w:color w:val="5A7D3A"/>
          <w:sz w:val="18"/>
        </w:rPr>
        <w:t>https://pubmed.ncbi.nlm.nih.gov/42902161/</w:t>
      </w:r>
    </w:p>
    <w:p>
      <w:pPr>
        <w:pStyle w:val="Heading1"/>
      </w:pPr>
      <w:r>
        <w:t>Aufgenommen am 21.10.2026</w:t>
      </w:r>
    </w:p>
    <w:p>
      <w:pPr>
        <w:pStyle w:val="Heading2"/>
      </w:pPr>
      <w:r>
        <w:t>Antibiotic Stewardship Programme mit Reimbursement: Pilot in Korea stärkt Infrastruktur</w:t>
      </w:r>
    </w:p>
    <w:p>
      <w:r>
        <w:rPr>
          <w:i/>
          <w:color w:val="666666"/>
          <w:sz w:val="18"/>
        </w:rPr>
        <w:t>Lim SM et al.  ·  J Korean Med Sci  ·  19.10.2026  ·  PMID 42901494</w:t>
      </w:r>
    </w:p>
    <w:p>
      <w:r>
        <w:t>Umfrage unter 153 südkoreanischen Krankenhäusern mit ≥300 Betten zur Erfassung von Antibiotic-Stewardship-Infrastruktur nach Einführung eines Pilot-Reimbursement-Systems im November 2024.</w:t>
      </w:r>
    </w:p>
    <w:p>
      <w:r>
        <w:rPr>
          <w:b/>
        </w:rPr>
        <w:t xml:space="preserve">Ergebnis: </w:t>
      </w:r>
      <w:r>
        <w:t>Teilnehmende Krankenhäuser (71 von 153) hatten mehr Infektiologen (2,96 vs. 0,63), bessere finanzielle Unterstützung (46,5% vs. 1,2%) und mehr IT-Entscheidungshilfen; Nicht-Teilnehmende zeigten Defizite: 62% ohne Richtlinien, 48% ohne Interventionen. Das Pilotprogramm verstärkte früh die Stewardship-Infrastruktur, aber erhebliche Disparitäten bleiben.</w:t>
      </w:r>
    </w:p>
    <w:p>
      <w:r>
        <w:rPr>
          <w:b/>
          <w:sz w:val="19"/>
        </w:rPr>
        <w:t xml:space="preserve">Übertragbarkeit: </w:t>
      </w:r>
      <w:r>
        <w:rPr>
          <w:sz w:val="19"/>
        </w:rPr>
        <w:t>Südkorea, vergleichbare Versorgungsstruktur und Dokumentationspflichten wie Deutschland.</w:t>
      </w:r>
    </w:p>
    <w:p>
      <w:r>
        <w:rPr>
          <w:color w:val="5A7D3A"/>
          <w:sz w:val="18"/>
        </w:rPr>
        <w:t>https://pubmed.ncbi.nlm.nih.gov/42901494/</w:t>
      </w:r>
    </w:p>
    <w:p>
      <w:pPr>
        <w:pStyle w:val="Heading2"/>
      </w:pPr>
      <w:r>
        <w:t>Intensive Qualitätskampagne reduzierte unnötige Handschuhnutzung um 11,4%</w:t>
      </w:r>
    </w:p>
    <w:p>
      <w:r>
        <w:rPr>
          <w:i/>
          <w:color w:val="666666"/>
          <w:sz w:val="18"/>
        </w:rPr>
        <w:t>Foong LH et al.  ·  West J Emerg Med  ·  24.09.2026  ·  PMID 42900947</w:t>
      </w:r>
    </w:p>
    <w:p>
      <w:r>
        <w:t>Vergleich zweier Krankenhäuser mit unterschiedlich intensiver Kampagne zur Reduktion nicht-steriler Handschuhnutzung und Verbesserung der Haendehygiene-Praxis.</w:t>
      </w:r>
    </w:p>
    <w:p>
      <w:r>
        <w:rPr>
          <w:b/>
        </w:rPr>
        <w:t xml:space="preserve">Ergebnis: </w:t>
      </w:r>
      <w:r>
        <w:t>Hospital A (niedrige Intensität) erreichte 2,6% Gesamtreduktion; Hospital B (hohe Intensität) erzielte 11,4% Reduktion der Gesamthandschuhnutzung (7,8% pro Patient). Intensive Qualitätsinterventionen waren wirksamer und führten zu CO₂-Einsparungen ohne Gefährdung der Haendehygiene.</w:t>
      </w:r>
    </w:p>
    <w:p>
      <w:r>
        <w:rPr>
          <w:b/>
          <w:sz w:val="19"/>
        </w:rPr>
        <w:t xml:space="preserve">Übertragbarkeit: </w:t>
      </w:r>
      <w:r>
        <w:rPr>
          <w:sz w:val="19"/>
        </w:rPr>
        <w:t>Australien, prinzipienübertragbar auf Hygiene- und Qualitätsziele deutscher Kliniken.</w:t>
      </w:r>
    </w:p>
    <w:p>
      <w:r>
        <w:rPr>
          <w:color w:val="5A7D3A"/>
          <w:sz w:val="18"/>
        </w:rPr>
        <w:t>https://pubmed.ncbi.nlm.nih.gov/42900947/</w:t>
      </w:r>
    </w:p>
    <w:p>
      <w:pPr>
        <w:pStyle w:val="Heading2"/>
      </w:pPr>
      <w:r>
        <w:t>Chirurgische Sicherheits-Checkliste: Compliance 39,7%, Nachverfolgung zeigt Barrieren und Erfolgsfaktoren</w:t>
      </w:r>
    </w:p>
    <w:p>
      <w:r>
        <w:rPr>
          <w:i/>
          <w:color w:val="666666"/>
          <w:sz w:val="18"/>
        </w:rPr>
        <w:t>Aouicha W et al.  ·  J Nurs Manag  ·  2026  ·  PMID 42899451</w:t>
      </w:r>
    </w:p>
    <w:p>
      <w:r>
        <w:t>Gemischte Methoden (Dokumentenanalyse + 13 Interviews mit Pflegekräften) zur Erfassung von Compliance, Barrieren und Erfolgsfaktoren bei der Implementierung der WHO-Surgical-Safety-Checklist in einem tunesischen Universitätskrankenhaus über 3 Monate.</w:t>
      </w:r>
    </w:p>
    <w:p>
      <w:r>
        <w:rPr>
          <w:b/>
        </w:rPr>
        <w:t xml:space="preserve">Ergebnis: </w:t>
      </w:r>
      <w:r>
        <w:t>Gesamtcompliance 39,7%, stieg in Phase 1 auf 60%, fiel in Phase 2 auf 29,4%; Sign-Out-Phase am häufigsten übersprungen; nächtliche Schichten und Notfalleingriffe zeigten niedrigere Compliance (p&lt;0,001); Barrieren: Zeitdruck, mangelnde Haftung; Erfolgsfaktoren: Führungsverpflichtung, Pflegechampions; Nachhaltigkeit erfordert formale Politikintegration und psychologische Sicherheit.</w:t>
      </w:r>
    </w:p>
    <w:p>
      <w:r>
        <w:rPr>
          <w:b/>
          <w:sz w:val="19"/>
        </w:rPr>
        <w:t xml:space="preserve">Übertragbarkeit: </w:t>
      </w:r>
      <w:r>
        <w:rPr>
          <w:sz w:val="19"/>
        </w:rPr>
        <w:t>Nordafrika/Mittelmeerregion, Erkenntnisse zu Implementierungsbarrieren übertragbar auf deutsche OP-Kulturen.</w:t>
      </w:r>
    </w:p>
    <w:p>
      <w:r>
        <w:rPr>
          <w:color w:val="5A7D3A"/>
          <w:sz w:val="18"/>
        </w:rPr>
        <w:t>https://pubmed.ncbi.nlm.nih.gov/42899451/</w:t>
      </w:r>
    </w:p>
    <w:p>
      <w:pPr>
        <w:pStyle w:val="Heading2"/>
      </w:pPr>
      <w:r>
        <w:t>Präoperative Hauterkrankung, Lebererkrankung und Hämoglobin-Abfall erhöhen SSI-Risiko nach Knievalgus-Osteotomie</w:t>
      </w:r>
    </w:p>
    <w:p>
      <w:r>
        <w:rPr>
          <w:i/>
          <w:color w:val="666666"/>
          <w:sz w:val="18"/>
        </w:rPr>
        <w:t>Arai Y et al.  ·  BMC Musculoskelet Disord  ·  23.07.2026  ·  PMID 42897581</w:t>
      </w:r>
    </w:p>
    <w:p>
      <w:r>
        <w:t>Multizentrische retrospektive Studie mit 247 Patienten (302 Knie) zur Identifizierung präoperativer Faktoren für chirurgische Wundinfektionen, die Reoperationen erfordern.</w:t>
      </w:r>
    </w:p>
    <w:p>
      <w:r>
        <w:rPr>
          <w:b/>
        </w:rPr>
        <w:t xml:space="preserve">Ergebnis: </w:t>
      </w:r>
      <w:r>
        <w:t>SSI-Rate 4,0% (12/302 Knie); präoperative Hauterkrankung, präoperative Lebererkrankung und postoperativer Hämoglobin-Abfall waren unabhängig assoziiert mit SSI. Assoziationen blieben in Sensitivitätsanalysen konsistent; prädiktive Faktoren könnten Risikoeinschätzung verbessern.</w:t>
      </w:r>
    </w:p>
    <w:p>
      <w:r>
        <w:rPr>
          <w:b/>
          <w:sz w:val="19"/>
        </w:rPr>
        <w:t xml:space="preserve">Übertragbarkeit: </w:t>
      </w:r>
      <w:r>
        <w:rPr>
          <w:sz w:val="19"/>
        </w:rPr>
        <w:t>Japan, vergleichbare orthopädische Versorgung und SSI-Überwachung.</w:t>
      </w:r>
    </w:p>
    <w:p>
      <w:r>
        <w:rPr>
          <w:color w:val="5A7D3A"/>
          <w:sz w:val="18"/>
        </w:rPr>
        <w:t>https://pubmed.ncbi.nlm.nih.gov/42897581/</w:t>
      </w:r>
    </w:p>
    <w:p>
      <w:pPr>
        <w:pStyle w:val="Heading2"/>
      </w:pPr>
      <w:r>
        <w:t>Modifizierte Kraske-Prozedur für retroraktale Tumoren: 4,3% Infektionsrate</w:t>
      </w:r>
    </w:p>
    <w:p>
      <w:r>
        <w:rPr>
          <w:i/>
          <w:color w:val="666666"/>
          <w:sz w:val="18"/>
        </w:rPr>
        <w:t>Bayraktar A et al.  ·  BMC Surg  ·  23.07.2026  ·  PMID 42897508</w:t>
      </w:r>
    </w:p>
    <w:p>
      <w:r>
        <w:t>Prospektive Fallserie mit 23 Patienten, die sich einer modifizierten Kraske-Prozedur zur Resektion retroraktaler Tumoren mit Fokus auf chirurgische Wundinfektionen (SSI) unterzogen.</w:t>
      </w:r>
    </w:p>
    <w:p>
      <w:r>
        <w:rPr>
          <w:b/>
        </w:rPr>
        <w:t xml:space="preserve">Ergebnis: </w:t>
      </w:r>
      <w:r>
        <w:t>SSI-Rate von nur 4,3% (1 von 23 Patienten), mittlere Operationsdauer 113 Min, Blutverlust 364,5 mL, keine Infektionsrezidive in 12–29 Monaten Nachverfolgung, gute Wundheilung und niedriges Morbidität-Profil.</w:t>
      </w:r>
    </w:p>
    <w:p>
      <w:r>
        <w:rPr>
          <w:b/>
          <w:sz w:val="19"/>
        </w:rPr>
        <w:t xml:space="preserve">Übertragbarkeit: </w:t>
      </w:r>
      <w:r>
        <w:rPr>
          <w:sz w:val="19"/>
        </w:rPr>
        <w:t>Deutschland/Österreich/Schweiz, vergleichbare Operationstechniken und SSI-Überwachung.</w:t>
      </w:r>
    </w:p>
    <w:p>
      <w:r>
        <w:rPr>
          <w:color w:val="5A7D3A"/>
          <w:sz w:val="18"/>
        </w:rPr>
        <w:t>https://pubmed.ncbi.nlm.nih.gov/42897508/</w:t>
      </w:r>
    </w:p>
    <w:p>
      <w:pPr>
        <w:pStyle w:val="Heading2"/>
      </w:pPr>
      <w:r>
        <w:t>Carbapenem-Resistenz bei pädiatrischen Acinetobacter-Infektionen erhöht 30-Tage-Sterblichkeit</w:t>
      </w:r>
    </w:p>
    <w:p>
      <w:r>
        <w:rPr>
          <w:i/>
          <w:color w:val="666666"/>
          <w:sz w:val="18"/>
        </w:rPr>
        <w:t>Karauzum SE et al.  ·  Eur J Pediatr  ·  20.10.2026  ·  PMID 42897394</w:t>
      </w:r>
    </w:p>
    <w:p>
      <w:r>
        <w:t>Retrospektive Kohortenstudie mit 128 Episoden pädiatrischer Acinetobacter-Blutstrominfektion über 12 Jahre zur Identifizierung von Risikofaktoren für Carbapenem-Resistenz und Mortalität.</w:t>
      </w:r>
    </w:p>
    <w:p>
      <w:r>
        <w:rPr>
          <w:b/>
        </w:rPr>
        <w:t xml:space="preserve">Ergebnis: </w:t>
      </w:r>
      <w:r>
        <w:t>Carbapenem-Resistenz in 42,2% (54/128 Episoden, alle A. baumannii); mechanische Beatmung (aOR 23,77; 95% CI 7,54–74,92), längerer präinfektionärer Krankenhausaufenthalt und vorige Meropenem-Exposition waren Resistenztreiber; 30-Tage-Mortalität 22,2% (CR) vs. 6,8% (nicht-resistent).</w:t>
      </w:r>
    </w:p>
    <w:p>
      <w:r>
        <w:rPr>
          <w:b/>
          <w:sz w:val="19"/>
        </w:rPr>
        <w:t xml:space="preserve">Übertragbarkeit: </w:t>
      </w:r>
      <w:r>
        <w:rPr>
          <w:sz w:val="19"/>
        </w:rPr>
        <w:t>Türkei, europäisches System, vergleichbare Pädiatrie-Intensivmedizin.</w:t>
      </w:r>
    </w:p>
    <w:p>
      <w:r>
        <w:rPr>
          <w:color w:val="5A7D3A"/>
          <w:sz w:val="18"/>
        </w:rPr>
        <w:t>https://pubmed.ncbi.nlm.nih.gov/42897394/</w:t>
      </w:r>
    </w:p>
    <w:p>
      <w:pPr>
        <w:pStyle w:val="Heading1"/>
      </w:pPr>
      <w:r>
        <w:t>Aufgenommen am 20.10.2026</w:t>
      </w:r>
    </w:p>
    <w:p>
      <w:pPr>
        <w:pStyle w:val="Heading2"/>
      </w:pPr>
      <w:r>
        <w:t>Checklisten-Tool reduziert unerwünschte Ereignisse bei Filler-Injektionen um 4,44 %</w:t>
      </w:r>
    </w:p>
    <w:p>
      <w:r>
        <w:rPr>
          <w:i/>
          <w:color w:val="666666"/>
          <w:sz w:val="18"/>
        </w:rPr>
        <w:t>Dimou C et al.  ·  Plast Aesthet Nurs (Phila)  ·  Okt. 2026  ·  PMID 42895918</w:t>
      </w:r>
    </w:p>
    <w:p>
      <w:r>
        <w:t>Qualitätsverbesserungsprojekt mit Vor-/Nach-Design über 12+6 Wochen in einer Schönheitsklinik zur Prüfung, ob die Assessment-Cosmetic-Injection-Safety-Tool (ACIST) Hautreaktionen und unerwünschte Ereignisse senkt.</w:t>
      </w:r>
    </w:p>
    <w:p>
      <w:r>
        <w:rPr>
          <w:b/>
        </w:rPr>
        <w:t xml:space="preserve">Ergebnis: </w:t>
      </w:r>
      <w:r>
        <w:t>ACIST wurde von 2 Nurse Practitionern eingesetzt. Keine statistisch signifikante Reduktion von Hautreaktionen beobachtet. Das Tool identifizierte jedoch erfolgreich Hochrisikofälle, verzögerte Behandlung und reduzierte unerwünschte Ereignisse in 4,44 % der Termine (chi²-Analyse). Das Tool verbesserte die Patientensicherheitskultur und operative Effizienz, obwohl statistische Signifikanz nicht erreicht wurde.</w:t>
      </w:r>
    </w:p>
    <w:p>
      <w:r>
        <w:rPr>
          <w:b/>
          <w:sz w:val="19"/>
        </w:rPr>
        <w:t xml:space="preserve">Übertragbarkeit: </w:t>
      </w:r>
      <w:r>
        <w:rPr>
          <w:sz w:val="19"/>
        </w:rPr>
        <w:t>USA; Sicherheits-Checklisten-Methodik ist international anwendbar</w:t>
      </w:r>
    </w:p>
    <w:p>
      <w:r>
        <w:rPr>
          <w:color w:val="5A7D3A"/>
          <w:sz w:val="18"/>
        </w:rPr>
        <w:t>https://pubmed.ncbi.nlm.nih.gov/42895918/</w:t>
      </w:r>
    </w:p>
    <w:p>
      <w:pPr>
        <w:pStyle w:val="Heading2"/>
      </w:pPr>
      <w:r>
        <w:t>Entzündungsbiomarker ESP-1 und HBP zeigen Schweregrad von Sepsis-bedingtem ARDS bei Älteren</w:t>
      </w:r>
    </w:p>
    <w:p>
      <w:r>
        <w:rPr>
          <w:i/>
          <w:color w:val="666666"/>
          <w:sz w:val="18"/>
        </w:rPr>
        <w:t>Chen S et al.  ·  Clin Interv Aging  ·  14.10.2026  ·  PMID 42894682</w:t>
      </w:r>
    </w:p>
    <w:p>
      <w:r>
        <w:t>Querschnittsstudie von 168 älteren Patienten (≥60 Jahre) mit Sepsis-assoziiertem ARDS, um Assoziationen von vier Entzündungsbiomarkern mit Schweregrad zu prüfen.</w:t>
      </w:r>
    </w:p>
    <w:p>
      <w:r>
        <w:rPr>
          <w:b/>
        </w:rPr>
        <w:t xml:space="preserve">Ergebnis: </w:t>
      </w:r>
      <w:r>
        <w:t>Alle vier Biomarker (ESM-1, suPAR, PCT, HBP) stiegen stufenweise über mild/moderat/schwer an (alle p&lt;0,001). ESM-1 zeigte stärkste Korrelation mit Schweregrad (r=0,557, p&lt;0,001) und größte ROC-AUC (0,800; 95%-KI 0,728–0,872), gefolgt von HBP (AUC 0,773), PCT (0,761), suPAR (0,704). Nach Adjustierung für Alter/Geschlecht blieben ESM-1 (OR 3,30; 95%-KI 1,60–6,83; p=0,001), PCT (OR 1,41; p=0,002) und HBP (OR 1,04; p&lt;0,001) unabhängig mit moderat-schwerer ARDS assoziiert.</w:t>
      </w:r>
    </w:p>
    <w:p>
      <w:r>
        <w:rPr>
          <w:b/>
          <w:sz w:val="19"/>
        </w:rPr>
        <w:t xml:space="preserve">Übertragbarkeit: </w:t>
      </w:r>
      <w:r>
        <w:rPr>
          <w:sz w:val="19"/>
        </w:rPr>
        <w:t>China; Biomarker-Ansatz für Schwere-Stratifikation unabhängig vom System</w:t>
      </w:r>
    </w:p>
    <w:p>
      <w:r>
        <w:rPr>
          <w:color w:val="5A7D3A"/>
          <w:sz w:val="18"/>
        </w:rPr>
        <w:t>https://pubmed.ncbi.nlm.nih.gov/42894682/</w:t>
      </w:r>
    </w:p>
    <w:p>
      <w:pPr>
        <w:pStyle w:val="Heading2"/>
      </w:pPr>
      <w:r>
        <w:t>Simulation zeigt latente Sicherheitsrisiken bei internen Massenunfällen in Krankenhäusern</w:t>
      </w:r>
    </w:p>
    <w:p>
      <w:r>
        <w:rPr>
          <w:i/>
          <w:color w:val="666666"/>
          <w:sz w:val="18"/>
        </w:rPr>
        <w:t>Katz-Dana H et al.  ·  Disaster Med Public Health Prep  ·  19.10.2026  ·  PMID 42894412</w:t>
      </w:r>
    </w:p>
    <w:p>
      <w:r>
        <w:t>Multizentrische simulationsgestützte Systemtestung (SbCST) in zwei israelischen Krankenhäusern zur Identifikation latenter Sicherheitsbedrohungen (LST) bei internen Massenunfällen.</w:t>
      </w:r>
    </w:p>
    <w:p>
      <w:r>
        <w:rPr>
          <w:b/>
        </w:rPr>
        <w:t xml:space="preserve">Ergebnis: </w:t>
      </w:r>
      <w:r>
        <w:t>Zwei Krankenhäuser durchliefen in-situ-Simulation mit anschließender Failure-Modes-Effects-Analysis. Aus 75–80 Beobachtungen wurden 53 eindeutige LST extrahiert. Recurrente Vulnerabilität in: Führung, Patientenfluss, Kommunikation, Triage und Systemschnittstellen. Ein erheblicher Anteil wurde als hoch oder sehr hoch priorisiert bewertet (Median-FMEA-Scores: Standort 1 = 30 [IQR 24–36], Standort 2 = 32 [IQR 24–48]). Für etwa 60–65 % der LST wurden Minderungsmaßnahmen vorgeschlagen.</w:t>
      </w:r>
    </w:p>
    <w:p>
      <w:r>
        <w:rPr>
          <w:b/>
          <w:sz w:val="19"/>
        </w:rPr>
        <w:t xml:space="preserve">Übertragbarkeit: </w:t>
      </w:r>
      <w:r>
        <w:rPr>
          <w:sz w:val="19"/>
        </w:rPr>
        <w:t>Israel; Methodik und Sicherheitskultur-Befunde sind auf deutsches Krankenhaus-Notfallmanagement übertragbar</w:t>
      </w:r>
    </w:p>
    <w:p>
      <w:r>
        <w:rPr>
          <w:color w:val="5A7D3A"/>
          <w:sz w:val="18"/>
        </w:rPr>
        <w:t>https://pubmed.ncbi.nlm.nih.gov/42894412/</w:t>
      </w:r>
    </w:p>
    <w:p>
      <w:pPr>
        <w:pStyle w:val="Heading2"/>
      </w:pPr>
      <w:r>
        <w:t>Prophylaktische Antibiotika über 48 h nach Dickdarmresektionen verhindern Wundinfektionen nicht</w:t>
      </w:r>
    </w:p>
    <w:p>
      <w:r>
        <w:rPr>
          <w:i/>
          <w:color w:val="666666"/>
          <w:sz w:val="18"/>
        </w:rPr>
        <w:t>Yang Y et al.  ·  BMC Infect Dis  ·  01.09.2026  ·  PMID 42894129</w:t>
      </w:r>
    </w:p>
    <w:p>
      <w:r>
        <w:t>Retrospektive Analyse von 2691 Patienten mit Dickdarmresektion, um zu prüfen, ob verlängerte Prophylaxe die Infektionsrate senkt.</w:t>
      </w:r>
    </w:p>
    <w:p>
      <w:r>
        <w:rPr>
          <w:b/>
        </w:rPr>
        <w:t xml:space="preserve">Ergebnis: </w:t>
      </w:r>
      <w:r>
        <w:t>Bei 2691 Patienten betrug die Wundinfektionsrate 8,51 %, die Rate sonstiger nosokomialer Infektionen 8,06 %. Nach Propensity-Score-Matching war verlängerte Prophylaxe (&gt;48 h) mit SSI nicht assoziiert (OR 0,85; 95%-KI 0,59–1,21; p=0,356) und nicht mit anderen nosokomialen Infektionen (OR 0,81; 95%-KI 0,54–1,23; p=0,325). Die Gesamtkosten waren in der Gruppe mit verlängerter Prophylaxe höher (57.349 ¥ vs. 55.039 ¥; p=0,0006), ohne die Liegedauer zu verkürzen. Ergebnis: Verlängerte Prophylaxe bringt keinen Nutzen und erhöht Kosten.</w:t>
      </w:r>
    </w:p>
    <w:p>
      <w:r>
        <w:rPr>
          <w:b/>
          <w:sz w:val="19"/>
        </w:rPr>
        <w:t xml:space="preserve">Übertragbarkeit: </w:t>
      </w:r>
      <w:r>
        <w:rPr>
          <w:sz w:val="19"/>
        </w:rPr>
        <w:t>China, aber Outcome und Kosteneffektivität sind universell; Fragestellung unabhängig vom System</w:t>
      </w:r>
    </w:p>
    <w:p>
      <w:r>
        <w:rPr>
          <w:color w:val="5A7D3A"/>
          <w:sz w:val="18"/>
        </w:rPr>
        <w:t>https://pubmed.ncbi.nlm.nih.gov/42894129/</w:t>
      </w:r>
    </w:p>
    <w:p>
      <w:pPr>
        <w:pStyle w:val="Heading2"/>
      </w:pPr>
      <w:r>
        <w:t>Unangepasste Initialtherapie bei Pyelonephritis verzögert Krankenhausentlassung nicht</w:t>
      </w:r>
    </w:p>
    <w:p>
      <w:r>
        <w:rPr>
          <w:i/>
          <w:color w:val="666666"/>
          <w:sz w:val="18"/>
        </w:rPr>
        <w:t>Salinas-Mendoza S et al.  ·  BMC Infect Dis  ·  22.07.2026  ·  PMID 42894114</w:t>
      </w:r>
    </w:p>
    <w:p>
      <w:r>
        <w:t>Retrospektive Kohortenstudie von 321 Patienten mit ambulant erworbener akuter Pyelonephritis, um zu prüfen, ob unangepasste Initialtherapie den Krankenhausaufenthalt verlängert.</w:t>
      </w:r>
    </w:p>
    <w:p>
      <w:r>
        <w:rPr>
          <w:b/>
        </w:rPr>
        <w:t xml:space="preserve">Ergebnis: </w:t>
      </w:r>
      <w:r>
        <w:t>60 von 321 Patienten erhielten unangepasste Therapie (dokumentierte Resistenz im Urin). Mediane Liegedauer 2,64 Tage. Nach inverser Wahrscheinlichkeitsgewichtung war unangepasste Therapie nicht mit längerer Aufenthaltsdauer assoziiert (HR 0,97; 95%-KI 0,71–1,33) und nicht mit erhöhtem Wiederaufnahmerisiko in 30 Tagen (OR 1,42; 95%-KI 0,65–3,06; p nicht signifikant).</w:t>
      </w:r>
    </w:p>
    <w:p>
      <w:r>
        <w:rPr>
          <w:b/>
          <w:sz w:val="19"/>
        </w:rPr>
        <w:t xml:space="preserve">Übertragbarkeit: </w:t>
      </w:r>
      <w:r>
        <w:rPr>
          <w:sz w:val="19"/>
        </w:rPr>
        <w:t>Kolumbien; Konzept der Initialtherapie-Anpassung gilt auch in Deutschland</w:t>
      </w:r>
    </w:p>
    <w:p>
      <w:r>
        <w:rPr>
          <w:color w:val="5A7D3A"/>
          <w:sz w:val="18"/>
        </w:rPr>
        <w:t>https://pubmed.ncbi.nlm.nih.gov/42894114/</w:t>
      </w:r>
    </w:p>
    <w:p>
      <w:pPr>
        <w:pStyle w:val="Heading2"/>
      </w:pPr>
      <w:r>
        <w:t>Mikrobielle Bindungsverbände bei geschlossenen Operationswunden reduzieren Infektionen</w:t>
      </w:r>
    </w:p>
    <w:p>
      <w:r>
        <w:rPr>
          <w:i/>
          <w:color w:val="666666"/>
          <w:sz w:val="18"/>
        </w:rPr>
        <w:t>Günther B et al.  ·  J Wound Care  ·  08.10.2026  ·  PMID 42847510</w:t>
      </w:r>
    </w:p>
    <w:p>
      <w:r>
        <w:t>Fallsammlung zur Antibiotic-Stewardship-Rolle und Effektivität von Mikrobien-bindenden Wundauflagen bei geschlossenen operativen Wunden.</w:t>
      </w:r>
    </w:p>
    <w:p>
      <w:r>
        <w:rPr>
          <w:b/>
        </w:rPr>
        <w:t xml:space="preserve">Ergebnis: </w:t>
      </w:r>
      <w:r>
        <w:t>Die Fallserie dokumentiert, dass spezialisierte Wundauflagen mit mikrobieller Bindungskapazität in geschlossenen Wunden Infektionsereignisse reduzieren und gleichzeitig den Einsatz systemischer Antibiotika begrenzen. Die genauen Infektionsraten sind in dieser Fallsammlung nicht quantifiziert; der Fokus liegt auf der Darstellung des Stewardship-Nutzen und mechanistischen Ansatzes.</w:t>
      </w:r>
    </w:p>
    <w:p>
      <w:r>
        <w:rPr>
          <w:b/>
          <w:sz w:val="19"/>
        </w:rPr>
        <w:t xml:space="preserve">Übertragbarkeit: </w:t>
      </w:r>
      <w:r>
        <w:rPr>
          <w:sz w:val="19"/>
        </w:rPr>
        <w:t>Norwegen/Kanada; Wundbewirtschaftungsprinzipien gelten international</w:t>
      </w:r>
    </w:p>
    <w:p>
      <w:r>
        <w:rPr>
          <w:color w:val="5A7D3A"/>
          <w:sz w:val="18"/>
        </w:rPr>
        <w:t>https://pubmed.ncbi.nlm.nih.gov/42847510/</w:t>
      </w:r>
    </w:p>
    <w:p>
      <w:pPr>
        <w:pStyle w:val="Heading1"/>
      </w:pPr>
      <w:r>
        <w:t>Aufgenommen am 19.10.2026</w:t>
      </w:r>
    </w:p>
    <w:p>
      <w:pPr>
        <w:pStyle w:val="Heading2"/>
      </w:pPr>
      <w:r>
        <w:t>Invasive Verfahren erhöhen Mortalität bei älteren Patienten mit Blutbahninfektionen</w:t>
      </w:r>
    </w:p>
    <w:p>
      <w:r>
        <w:rPr>
          <w:i/>
          <w:color w:val="666666"/>
          <w:sz w:val="18"/>
        </w:rPr>
        <w:t>Yu Z et al.  ·  Clin Interv Aging  ·  12.10.2026  ·  PMID 42892862</w:t>
      </w:r>
    </w:p>
    <w:p>
      <w:r>
        <w:t>Retrospektive Kohortenstudie an 527 älteren Patienten (≥65 Jahre) mit Blutbahninfektionen in einer geriatrischen Klinik in Peking zur Identifikation von Mortalitätsprädiktoren.</w:t>
      </w:r>
    </w:p>
    <w:p>
      <w:r>
        <w:rPr>
          <w:b/>
        </w:rPr>
        <w:t xml:space="preserve">Ergebnis: </w:t>
      </w:r>
      <w:r>
        <w:t>Prolongierte mechanische Beatmung war der stärkste Mortalitätsfaktor (1–30 Tage: OR 12,70, 95%-KI 5,86–29,00; 31–90 Tage: OR 3,21, 95%-KI 1,53–6,89). Katheternutzung (zentral oder urethral für 1–60 Tage) und Chemotherapie/Strahlentherapie erhöhten die Mortalität ebenfalls signifikant (OR 2,56 bzw. 2,28 bzw. 3,25). Die Thrombozytenzahl war der beste prognostische Marker (AUC 0,79).</w:t>
      </w:r>
    </w:p>
    <w:p>
      <w:r>
        <w:rPr>
          <w:b/>
          <w:sz w:val="19"/>
        </w:rPr>
        <w:t xml:space="preserve">Übertragbarkeit: </w:t>
      </w:r>
      <w:r>
        <w:rPr>
          <w:sz w:val="19"/>
        </w:rPr>
        <w:t>China – Settings und Patienten unterscheiden sich von Deutschland, Befund zu invasiven Maßnahmen aber Versorgungsrelevanz</w:t>
      </w:r>
    </w:p>
    <w:p>
      <w:r>
        <w:rPr>
          <w:color w:val="5A7D3A"/>
          <w:sz w:val="18"/>
        </w:rPr>
        <w:t>https://pubmed.ncbi.nlm.nih.gov/42892862/</w:t>
      </w:r>
    </w:p>
    <w:p>
      <w:pPr>
        <w:pStyle w:val="Heading2"/>
      </w:pPr>
      <w:r>
        <w:t>Demenz-Nebenwirkungen: 33.772 FDA-Meldungen deuten auf Immunsuppressiva, Antipsychotika und Zytostatika</w:t>
      </w:r>
    </w:p>
    <w:p>
      <w:r>
        <w:rPr>
          <w:i/>
          <w:color w:val="666666"/>
          <w:sz w:val="18"/>
        </w:rPr>
        <w:t>Tao T et al.  ·  Medicine (Baltimore)  ·  16.10.2026  ·  PMID 42888596</w:t>
      </w:r>
    </w:p>
    <w:p>
      <w:r>
        <w:t>Pharmakovigilanz-Analyse von Demenz-assoziierten Nebenwirkungsberichten aus der FDA Adverse Event Reporting System (FAERS)-Datenbank von Q1 2004 bis Q1 2024 mit Disproportionalitätsanalyse.</w:t>
      </w:r>
    </w:p>
    <w:p>
      <w:r>
        <w:rPr>
          <w:b/>
        </w:rPr>
        <w:t xml:space="preserve">Ergebnis: </w:t>
      </w:r>
      <w:r>
        <w:t>33.772 Berichte zu 1.103 Verdachtsdrogen wurden identifiziert. Immunsuppressiva, Psycholeptika und Antineoplastika waren die am häufigsten gemeldeten Kategorien. Apixaban zeigte die höchsten Fallzahlen, gefolgt von Pimavanserin und Lenalidomid. Disproportionalitätsanalyse ergab 191 Drogen mit potentiellen Demenz-Signalen und 135 mit Effektmodifikation.</w:t>
      </w:r>
    </w:p>
    <w:p>
      <w:r>
        <w:rPr>
          <w:b/>
          <w:sz w:val="19"/>
        </w:rPr>
        <w:t xml:space="preserve">Übertragbarkeit: </w:t>
      </w:r>
      <w:r>
        <w:rPr>
          <w:sz w:val="19"/>
        </w:rPr>
        <w:t>USA FAERS-Datenbank – Signale müssen in europäischen Registern validiert werden, Meldequoten nicht direkt vergleichbar</w:t>
      </w:r>
    </w:p>
    <w:p>
      <w:r>
        <w:rPr>
          <w:color w:val="5A7D3A"/>
          <w:sz w:val="18"/>
        </w:rPr>
        <w:t>https://pubmed.ncbi.nlm.nih.gov/42888596/</w:t>
      </w:r>
    </w:p>
    <w:p>
      <w:pPr>
        <w:pStyle w:val="Heading2"/>
      </w:pPr>
      <w:r>
        <w:t>Medikamentenverschwendung auf Intensivstationen: Kategorien, aber keine Interventionsergebnisse</w:t>
      </w:r>
    </w:p>
    <w:p>
      <w:r>
        <w:rPr>
          <w:i/>
          <w:color w:val="666666"/>
          <w:sz w:val="18"/>
        </w:rPr>
        <w:t>Liang L et al.  ·  Nurs Crit Care  ·  Nov. 2026  ·  PMID 42885869</w:t>
      </w:r>
    </w:p>
    <w:p>
      <w:r>
        <w:t>Gemischte systematische Übersicht zu Erfassung, Mechanismen und Prävention von intravenöser Medikamentenverschwendung auf Intensivstationen in 25 Berichten aus 21 unabhängigen Studien.</w:t>
      </w:r>
    </w:p>
    <w:p>
      <w:r>
        <w:rPr>
          <w:b/>
        </w:rPr>
        <w:t xml:space="preserve">Ergebnis: </w:t>
      </w:r>
      <w:r>
        <w:t>Verschwendung gliederte sich in fünf Kategorien: ungenutzte Präparate, Verlust nach Verordnung oder Ereignis, Restmengen in Behältern, Rückstände in Systemen und Materialfluss-Verluste. Nur 10 von 21 Studien nannten explizit den Nenner; keine Studie verband Verschwendung mit Patientenergebnissen. Interventionsevidenz war unkontrolliert oder modelliert.</w:t>
      </w:r>
    </w:p>
    <w:p>
      <w:r>
        <w:rPr>
          <w:b/>
          <w:sz w:val="19"/>
        </w:rPr>
        <w:t xml:space="preserve">Übertragbarkeit: </w:t>
      </w:r>
      <w:r>
        <w:rPr>
          <w:sz w:val="19"/>
        </w:rPr>
        <w:t>UK und Mehrländer – Dokumentationsstandards ähnlich Deutschland, Problem versorgungsrelevant</w:t>
      </w:r>
    </w:p>
    <w:p>
      <w:r>
        <w:rPr>
          <w:color w:val="5A7D3A"/>
          <w:sz w:val="18"/>
        </w:rPr>
        <w:t>https://pubmed.ncbi.nlm.nih.gov/42885869/</w:t>
      </w:r>
    </w:p>
    <w:p>
      <w:pPr>
        <w:pStyle w:val="Heading2"/>
      </w:pPr>
      <w:r>
        <w:t>Blutglukose kontrolliert Armfunktion nach traumatischer Infektion – frühe Reha hilft teilweise</w:t>
      </w:r>
    </w:p>
    <w:p>
      <w:r>
        <w:rPr>
          <w:i/>
          <w:color w:val="666666"/>
          <w:sz w:val="18"/>
        </w:rPr>
        <w:t>Chen S et al.  ·  J Plast Surg Hand Surg  ·  16.10.2026  ·  PMID 42885545</w:t>
      </w:r>
    </w:p>
    <w:p>
      <w:r>
        <w:t>Retrospektive Kohortenstudie mit 100 Patienten mit Fraktur-assoziierten Infektionen (FRI) nach Oberlimben-Trauma zur Untersuchung der Assoziation zwischen präoperativem HbA1c und Armfunktion (DASH-Score) nach 6 Monaten sowie der vermittelnden Rolle der Reha-Initiation.</w:t>
      </w:r>
    </w:p>
    <w:p>
      <w:r>
        <w:rPr>
          <w:b/>
        </w:rPr>
        <w:t xml:space="preserve">Ergebnis: </w:t>
      </w:r>
      <w:r>
        <w:t>HbA1c war signifikant positiv mit DASH-Score assoziiert (β=6,90, 95%-KI 3,91–9,89, p&lt;0,001). Rehabilitation-Initiierungszeit spielte eine Teilmediation: indirekte Effekt 2,04 (95%-KI 0,63–3,59, p=0,004), Mediationsanteil 27%. Kein signifikanter Interaktionseffekt mit HbA1c oder Débridement-Häufigkeit.</w:t>
      </w:r>
    </w:p>
    <w:p>
      <w:r>
        <w:rPr>
          <w:b/>
          <w:sz w:val="19"/>
        </w:rPr>
        <w:t xml:space="preserve">Übertragbarkeit: </w:t>
      </w:r>
      <w:r>
        <w:rPr>
          <w:sz w:val="19"/>
        </w:rPr>
        <w:t>China – Prinzip der Glykämie-Kontrolle und frühester Reha-Initiation universell, Outcome-Messung vergleichbar</w:t>
      </w:r>
    </w:p>
    <w:p>
      <w:r>
        <w:rPr>
          <w:color w:val="5A7D3A"/>
          <w:sz w:val="18"/>
        </w:rPr>
        <w:t>https://pubmed.ncbi.nlm.nih.gov/42885545/</w:t>
      </w:r>
    </w:p>
    <w:p>
      <w:pPr>
        <w:pStyle w:val="Heading2"/>
      </w:pPr>
      <w:r>
        <w:t>Katheter-assoziierte Harnwegsinfektionen: bisherige Vorhersagemodelle unbrauchbar</w:t>
      </w:r>
    </w:p>
    <w:p>
      <w:r>
        <w:rPr>
          <w:i/>
          <w:color w:val="666666"/>
          <w:sz w:val="18"/>
        </w:rPr>
        <w:t>Mengqi Z et al.  ·  Front Public Health  ·  30.09.2026  ·  PMID 42877209</w:t>
      </w:r>
    </w:p>
    <w:p>
      <w:r>
        <w:t>Systematische Übersicht mit kritischer Bewertung von 18 publizierten Vorhersagemodellen für katheter-assoziierte Harnwegsinfektionen (CAUTI) bei erwachsenen stationären Patienten.</w:t>
      </w:r>
    </w:p>
    <w:p>
      <w:r>
        <w:rPr>
          <w:b/>
        </w:rPr>
        <w:t xml:space="preserve">Ergebnis: </w:t>
      </w:r>
      <w:r>
        <w:t>Alle 13 Berichte wurden wegen hohen Verzerrungsrisiko bewertet, hauptsächlich durch zeitliche Datenüberlappung, unzureichendes Events-pro-Variable-Verhältnis und fehlende externe Validierung. Nur zwei Modelle führten externe Validierung durch (AUC 0,758 und 0,970). Keine der bisherigen Arbeiten reicht für klinische Implementierung aus.</w:t>
      </w:r>
    </w:p>
    <w:p>
      <w:r>
        <w:rPr>
          <w:b/>
          <w:sz w:val="19"/>
        </w:rPr>
        <w:t xml:space="preserve">Übertragbarkeit: </w:t>
      </w:r>
      <w:r>
        <w:rPr>
          <w:sz w:val="19"/>
        </w:rPr>
        <w:t>Mehrländische Analyse – unterstreicht Forschungslücke auch für Deutschland</w:t>
      </w:r>
    </w:p>
    <w:p>
      <w:r>
        <w:rPr>
          <w:color w:val="5A7D3A"/>
          <w:sz w:val="18"/>
        </w:rPr>
        <w:t>https://pubmed.ncbi.nlm.nih.gov/42877209/</w:t>
      </w:r>
    </w:p>
    <w:p>
      <w:pPr>
        <w:pStyle w:val="Heading2"/>
      </w:pPr>
      <w:r>
        <w:t>Medikamenteninduzierte Gallengangsverluste: benigne Prognose trotz verzögerter Erholung</w:t>
      </w:r>
    </w:p>
    <w:p>
      <w:r>
        <w:rPr>
          <w:i/>
          <w:color w:val="666666"/>
          <w:sz w:val="18"/>
        </w:rPr>
        <w:t>Bessone F et al.  ·  Liver Int  ·  Nov. 2026  ·  PMID 42860753</w:t>
      </w:r>
    </w:p>
    <w:p>
      <w:r>
        <w:t>Prospektive multinationale Registerstudie (Spanien, Lateinamerika) mit Leberbiopsien bei 298 Patienten zur Charakterisierung von arzneimittelinduzierten Gallengangverlusten (Drug-Induced Ductopenia, DID) und Langzeitergebnissen.</w:t>
      </w:r>
    </w:p>
    <w:p>
      <w:r>
        <w:rPr>
          <w:b/>
        </w:rPr>
        <w:t xml:space="preserve">Ergebnis: </w:t>
      </w:r>
      <w:r>
        <w:t>10 Fälle (3,4%) erfüllten DID-Kriterien (Ausfall interlobulärer Gallengänge in &gt;50% der Portaltrakte). Alle zeigten Ikterus, 40% einen Hautausschlag (vs. 9,4% ohne DID; p=0,013). Gesamtbilirubin war signifikant höher (Median 12 mg/dL vs. 6,6 mg/dL; p=0,027). Kein Tod oder Lebertransplantation trat auf; biochemische Erholung wurde in den meisten Fällen erreicht, teilweise verzögert.</w:t>
      </w:r>
    </w:p>
    <w:p>
      <w:r>
        <w:rPr>
          <w:b/>
          <w:sz w:val="19"/>
        </w:rPr>
        <w:t xml:space="preserve">Übertragbarkeit: </w:t>
      </w:r>
      <w:r>
        <w:rPr>
          <w:sz w:val="19"/>
        </w:rPr>
        <w:t>Spanien, Lateinamerika – vergleichbare Meldesysteme, DILI-Registry-Modell informativ für Deutschland</w:t>
      </w:r>
    </w:p>
    <w:p>
      <w:r>
        <w:rPr>
          <w:color w:val="5A7D3A"/>
          <w:sz w:val="18"/>
        </w:rPr>
        <w:t>https://pubmed.ncbi.nlm.nih.gov/42860753/</w:t>
      </w:r>
    </w:p>
    <w:p>
      <w:pPr>
        <w:pStyle w:val="Heading1"/>
      </w:pPr>
      <w:r>
        <w:t>Aufgenommen am 18.10.2026</w:t>
      </w:r>
    </w:p>
    <w:p>
      <w:pPr>
        <w:pStyle w:val="Heading2"/>
      </w:pPr>
      <w:r>
        <w:t>Antibiotic-Stewardship bei Leberzirrhose: Evidence-Lücken und Handlungsbedarf</w:t>
      </w:r>
    </w:p>
    <w:p>
      <w:r>
        <w:rPr>
          <w:i/>
          <w:color w:val="666666"/>
          <w:sz w:val="18"/>
        </w:rPr>
        <w:t>Ezzafzafi S et al.  ·  United European Gastroenterol J  ·  Okt. 2026  ·  PMID 42888911</w:t>
      </w:r>
    </w:p>
    <w:p>
      <w:r>
        <w:t>Narrative Übersicht der Evidenz hinter internationalen Leitlinien-Empfehlungen zu Antibiotic-Prophylaxe und empirischer Behandlung bei Zirrhose, mit kritischer Bewertung des Validitätszustands in der Ära multiresistenter Erreger.</w:t>
      </w:r>
    </w:p>
    <w:p>
      <w:r>
        <w:rPr>
          <w:b/>
        </w:rPr>
        <w:t xml:space="preserve">Ergebnis: </w:t>
      </w:r>
      <w:r>
        <w:t>Die Autoren zeigen, dass die zugrundeliegende Evidenz begrenzt ist und älter als die aktuelle Ära multiresistenter Erreger. Primärprophylaxe sollte neu überdacht werden, Rifaximin verdient Evaluation gegen etablierte Fluorochinolon-Regime, kürzere Antibiotika-Kurse könnten Standard-Durations nicht unterlegen sein. Neue doppelblind-kontrollierte Nicht-Unterlegenheits- und Bayesianische Studien sind erforderlich.</w:t>
      </w:r>
    </w:p>
    <w:p>
      <w:r>
        <w:rPr>
          <w:b/>
          <w:sz w:val="19"/>
        </w:rPr>
        <w:t xml:space="preserve">Übertragbarkeit: </w:t>
      </w:r>
      <w:r>
        <w:rPr>
          <w:sz w:val="19"/>
        </w:rPr>
        <w:t>Niederlande/UK, europäische Versorgungsrealität, direkter Antibiotic-Stewardship-Bezug</w:t>
      </w:r>
    </w:p>
    <w:p>
      <w:r>
        <w:rPr>
          <w:color w:val="5A7D3A"/>
          <w:sz w:val="18"/>
        </w:rPr>
        <w:t>https://pubmed.ncbi.nlm.nih.gov/42888911/</w:t>
      </w:r>
    </w:p>
    <w:p>
      <w:pPr>
        <w:pStyle w:val="Heading2"/>
      </w:pPr>
      <w:r>
        <w:t>Besuchssperre auf Intensivstation senkte nosokomiale Infektionen um zwei Drittel</w:t>
      </w:r>
    </w:p>
    <w:p>
      <w:r>
        <w:rPr>
          <w:i/>
          <w:color w:val="666666"/>
          <w:sz w:val="18"/>
        </w:rPr>
        <w:t>Ersoy Karka O et al.  ·  Medicine (Baltimore)  ·  16.10.2026  ·  PMID 42888540</w:t>
      </w:r>
    </w:p>
    <w:p>
      <w:r>
        <w:t>Vergleich der Infektionsraten zwischen Vor-Pandemie-Phase mit eingeschränktem Besuch und Pandemie-Phase mit Besuchsverbot in einer nichtCOVID-Intensivstation der Türkei (März 2019 bis März 2021).</w:t>
      </w:r>
    </w:p>
    <w:p>
      <w:r>
        <w:rPr>
          <w:b/>
        </w:rPr>
        <w:t xml:space="preserve">Ergebnis: </w:t>
      </w:r>
      <w:r>
        <w:t>Die Infektionsrate war in der Besuchssperre-Gruppe (6,1 %) signifikant niedriger als in der Kontrollgruppe (22,0 %, p&lt;0,001). In der episodengestützten Analyse: 10,4 % versus 33,0 % (p&lt;0,001). Die Zeit bis zum Infektionsbeginn war in der Besuchssperre-Gruppe signifikant länger (p=0,003). Beatmungsassoziierte Pneumonie zeigte standardisiertes Infektionsverhältnis-Reduktion (p=0,02); Acinetobacter-Isolate waren deutlich weniger häufig. Procalcitonin, CRP, Leukozyten und Laktat waren in der Besuchssperre-Phase signifikant niedriger.</w:t>
      </w:r>
    </w:p>
    <w:p>
      <w:r>
        <w:rPr>
          <w:b/>
          <w:sz w:val="19"/>
        </w:rPr>
        <w:t xml:space="preserve">Übertragbarkeit: </w:t>
      </w:r>
      <w:r>
        <w:rPr>
          <w:sz w:val="19"/>
        </w:rPr>
        <w:t>Türkei, Mehrschicht-Kontrollmaßnahmen in der Pandemie, Ergebnis nicht allein dem Besuchsverbot zurechenbar</w:t>
      </w:r>
    </w:p>
    <w:p>
      <w:r>
        <w:rPr>
          <w:color w:val="5A7D3A"/>
          <w:sz w:val="18"/>
        </w:rPr>
        <w:t>https://pubmed.ncbi.nlm.nih.gov/42888540/</w:t>
      </w:r>
    </w:p>
    <w:p>
      <w:pPr>
        <w:pStyle w:val="Heading2"/>
      </w:pPr>
      <w:r>
        <w:t>Blutkultur-positive Episoden in der Neonatologie: Wie Ärzte Infektion von Kontamination unterscheiden</w:t>
      </w:r>
    </w:p>
    <w:p>
      <w:r>
        <w:rPr>
          <w:i/>
          <w:color w:val="666666"/>
          <w:sz w:val="18"/>
        </w:rPr>
        <w:t>Schnee SV et al.  ·  BMC Infect Dis  ·  15.10.2026  ·  PMID 42888396</w:t>
      </w:r>
    </w:p>
    <w:p>
      <w:r>
        <w:t>Retrospektive Analyse von 189 blutkultur-positiven Episoden in einer deutschen Neugeborenen-Intensivstation (2014–2024), wie klinische Teams zwischen Infektion und Kontamination differenzieren.</w:t>
      </w:r>
    </w:p>
    <w:p>
      <w:r>
        <w:rPr>
          <w:b/>
        </w:rPr>
        <w:t xml:space="preserve">Ergebnis: </w:t>
      </w:r>
      <w:r>
        <w:t>Von 189 Episoden wurden 125 (66,1 %) als Infektion und 64 (33,9 %) als Kontamination attribuiert. Bei Koagulase-negativen Staphylokokken (CoNS) in der Spätphase wurden 64 von 101 Fällen (63,4 %) als Infektion klassifiziert, während in der Frühphase alle 13 CoNS-Fälle als Kontamination eingestuft wurden. Das maximale CRP zeigte die stärkste Assoziation mit der Attribuierung als Infektion (adjustiertes OR 4,41; 95%-KI 2,59–7,51). Die Ergebnisse beschreiben real-world-Praxis, nicht diagnostische Genauigkeit, und unterstreichen Bedarf für reproduzierbare Kriterien zur Unterstützung von Antibiotic Stewardship.</w:t>
      </w:r>
    </w:p>
    <w:p>
      <w:r>
        <w:rPr>
          <w:b/>
          <w:sz w:val="19"/>
        </w:rPr>
        <w:t xml:space="preserve">Übertragbarkeit: </w:t>
      </w:r>
      <w:r>
        <w:rPr>
          <w:sz w:val="19"/>
        </w:rPr>
        <w:t>Deutsche Klinikdaten, NICU mit vergleichbarem Dokumentationsstandard</w:t>
      </w:r>
    </w:p>
    <w:p>
      <w:r>
        <w:rPr>
          <w:color w:val="5A7D3A"/>
          <w:sz w:val="18"/>
        </w:rPr>
        <w:t>https://pubmed.ncbi.nlm.nih.gov/42888396/</w:t>
      </w:r>
    </w:p>
    <w:p>
      <w:pPr>
        <w:pStyle w:val="Heading2"/>
      </w:pPr>
      <w:r>
        <w:t>Beatmungsassoziierte Pneumonie: Diagnose neu definieren – Erreger allein reicht nicht</w:t>
      </w:r>
    </w:p>
    <w:p>
      <w:r>
        <w:rPr>
          <w:i/>
          <w:color w:val="666666"/>
          <w:sz w:val="18"/>
        </w:rPr>
        <w:t>Martin-Loeches I et al.  ·  Nat Commun  ·  16.10.2026  ·  PMID 42888246</w:t>
      </w:r>
    </w:p>
    <w:p>
      <w:r>
        <w:t>Perspektive zur Neukonzeptualisierung der Diagnose beatmungsassoziierter Pneumonie jenseits reiner Erregerdetektione, mit expliziter Bewertung der kausalen Plausibilität des Erregers für die aktuelle Lungenverletzung.</w:t>
      </w:r>
    </w:p>
    <w:p>
      <w:r>
        <w:rPr>
          <w:b/>
        </w:rPr>
        <w:t xml:space="preserve">Ergebnis: </w:t>
      </w:r>
      <w:r>
        <w:t>Der Rahmen schlägt eine explizite, gestufte und überprüfbare Bewertung vor, ob ein nachgewiesener Organismus die aktuelle Lungenverletzung plausibel verursacht. Das Framework umfasst Pneumonie während Beatmung, Pneumonie vor Intubation und Pneumonie bei nicht-beatmeten ICU-Patienten und sieht formale Neubewertung nach 48–72 Stunden vor, um Behandlung fortzusetzen, zu verengen oder zu beenden.</w:t>
      </w:r>
    </w:p>
    <w:p>
      <w:r>
        <w:rPr>
          <w:b/>
          <w:sz w:val="19"/>
        </w:rPr>
        <w:t xml:space="preserve">Übertragbarkeit: </w:t>
      </w:r>
      <w:r>
        <w:rPr>
          <w:sz w:val="19"/>
        </w:rPr>
        <w:t>Irland/Spanien, europäische ICU-Praxis, Diagnostic Stewardship-Konzept</w:t>
      </w:r>
    </w:p>
    <w:p>
      <w:r>
        <w:rPr>
          <w:color w:val="5A7D3A"/>
          <w:sz w:val="18"/>
        </w:rPr>
        <w:t>https://pubmed.ncbi.nlm.nih.gov/42888246/</w:t>
      </w:r>
    </w:p>
    <w:p>
      <w:pPr>
        <w:pStyle w:val="Heading2"/>
      </w:pPr>
      <w:r>
        <w:t>Hautdesinfektions-Umfang bei Hüftoperation reduziert Kontaminationsrisiko messbar</w:t>
      </w:r>
    </w:p>
    <w:p>
      <w:r>
        <w:rPr>
          <w:i/>
          <w:color w:val="666666"/>
          <w:sz w:val="18"/>
        </w:rPr>
        <w:t>Verhelst L et al.  ·  Acta Orthop Belg  ·  08.10.2026  ·  PMID 42885457</w:t>
      </w:r>
    </w:p>
    <w:p>
      <w:r>
        <w:t>Proof-of-concept-Studie an 6 Hautdesinfektions- und Abdeckungsprotokollen für die direkt-anteriore Hüftarthroplastie mit fluoreszierentem Kontaminationsmodell.</w:t>
      </w:r>
    </w:p>
    <w:p>
      <w:r>
        <w:rPr>
          <w:b/>
        </w:rPr>
        <w:t xml:space="preserve">Ergebnis: </w:t>
      </w:r>
      <w:r>
        <w:t>Keine Kontamination bei den vier ausgedehntesten Desinfektionsstrategien. Kontamination trat in 28,6 % der Fälle auf, wenn Fuß und Knöchel ausgeschlossen wurden, und in 57,1 %, wenn die Vorbereitung auf den Bereich oberhalb des Knies begrenzt war. Das Heben des Beins zur Desinfektion der Rückseite oder die Desinfektion des kontralateralen Beins reduzierte das Kontaminationsrisiko nicht.</w:t>
      </w:r>
    </w:p>
    <w:p>
      <w:r>
        <w:rPr>
          <w:b/>
          <w:sz w:val="19"/>
        </w:rPr>
        <w:t xml:space="preserve">Übertragbarkeit: </w:t>
      </w:r>
      <w:r>
        <w:rPr>
          <w:sz w:val="19"/>
        </w:rPr>
        <w:t>Belgien, vergleichbares OP-Standard-Managementsystem, Ergebnis übertragbar</w:t>
      </w:r>
    </w:p>
    <w:p>
      <w:r>
        <w:rPr>
          <w:color w:val="5A7D3A"/>
          <w:sz w:val="18"/>
        </w:rPr>
        <w:t>https://pubmed.ncbi.nlm.nih.gov/42885457/</w:t>
      </w:r>
    </w:p>
    <w:p>
      <w:pPr>
        <w:pStyle w:val="Heading2"/>
      </w:pPr>
      <w:r>
        <w:t>Risikomanagementsystem identifiziert 20 kritische Fehlerquellen bei Antipsychotika-Versorgung</w:t>
      </w:r>
    </w:p>
    <w:p>
      <w:r>
        <w:rPr>
          <w:i/>
          <w:color w:val="666666"/>
          <w:sz w:val="18"/>
        </w:rPr>
        <w:t>Felício LR et al.  ·  Cien Saude Colet  ·  09.10.2026  ·  PMID 42879620</w:t>
      </w:r>
    </w:p>
    <w:p>
      <w:r>
        <w:t>Qualitative Risikoanalyse der Zugangsbarrieren zu Antipsychotika in Brasilien (Basiskomponente vs. Spezialkomponente) unter Anwendung systematischer Risikobewertung.</w:t>
      </w:r>
    </w:p>
    <w:p>
      <w:r>
        <w:rPr>
          <w:b/>
        </w:rPr>
        <w:t xml:space="preserve">Ergebnis: </w:t>
      </w:r>
      <w:r>
        <w:t>20 Risikofälle identifiziert: 12 in Basiskomponente (60 %), 11 in Spezialkomponente (55 %), davon 7 gemeinsam. Beide Komponenten zeigen hohe und sehr hohe Risiken, die Mitigation erfordern. Risk Management half, Medikamentenzugang zu diskutieren und Entscheidungsfindung im Pharmazie-Management zu leiten. Weitergabe oder Transition zwischen Komponenten sollte sich an der Fähigkeit orientieren, Managementrisiken zu mindern.</w:t>
      </w:r>
    </w:p>
    <w:p>
      <w:r>
        <w:rPr>
          <w:b/>
          <w:sz w:val="19"/>
        </w:rPr>
        <w:t xml:space="preserve">Übertragbarkeit: </w:t>
      </w:r>
      <w:r>
        <w:rPr>
          <w:sz w:val="19"/>
        </w:rPr>
        <w:t>Brasilien, Risikomanagementsystem systematisch auf Medikations-Versorgung angewendet, Übertragbarkeit gering</w:t>
      </w:r>
    </w:p>
    <w:p>
      <w:r>
        <w:rPr>
          <w:color w:val="5A7D3A"/>
          <w:sz w:val="18"/>
        </w:rPr>
        <w:t>https://pubmed.ncbi.nlm.nih.gov/42879620/</w:t>
      </w:r>
    </w:p>
    <w:p>
      <w:pPr>
        <w:pStyle w:val="Heading1"/>
      </w:pPr>
      <w:r>
        <w:t>Aufgenommen am 17.10.2026</w:t>
      </w:r>
    </w:p>
    <w:p>
      <w:pPr>
        <w:pStyle w:val="Heading2"/>
      </w:pPr>
      <w:r>
        <w:t>Schnelle Mikrodiagnostik bei Bakteriämie verkürzte Antibiotikaanpassung um 16 Stunden</w:t>
      </w:r>
    </w:p>
    <w:p>
      <w:r>
        <w:rPr>
          <w:i/>
          <w:color w:val="666666"/>
          <w:sz w:val="18"/>
        </w:rPr>
        <w:t>Pérez G et al.  ·  Medicina (B Aires)  ·  2026  ·  PMID 42886952</w:t>
      </w:r>
    </w:p>
    <w:p>
      <w:r>
        <w:t>Quasi-experimentelle Studie zur Integration von FilmArray-Schnelldiagnostik in ein Antibiotic-Stewardship-Programm für hospitalisierte Kinder mit Bakteriämie.</w:t>
      </w:r>
    </w:p>
    <w:p>
      <w:r>
        <w:rPr>
          <w:b/>
        </w:rPr>
        <w:t xml:space="preserve">Ergebnis: </w:t>
      </w:r>
      <w:r>
        <w:t>Reportingzeit sank von 26 Stunden auf 6 Stunden (p=0,001); Antibiotikaanpassungen nahmen von 41% auf 55% innerhalb 48 Stunden zu (p=0,02); Tage mit empirischem Meropenem und Vancomycin reduzierten sich signifikant. Intervention optimiert Ressourceneinsatz und Patientensicherheit.</w:t>
      </w:r>
    </w:p>
    <w:p>
      <w:r>
        <w:rPr>
          <w:b/>
          <w:sz w:val="19"/>
        </w:rPr>
        <w:t xml:space="preserve">Übertragbarkeit: </w:t>
      </w:r>
      <w:r>
        <w:rPr>
          <w:sz w:val="19"/>
        </w:rPr>
        <w:t>Argentinische Klinikdaten, Organisationsmodell auf deutsches Stewardship übertragbar</w:t>
      </w:r>
    </w:p>
    <w:p>
      <w:r>
        <w:rPr>
          <w:color w:val="5A7D3A"/>
          <w:sz w:val="18"/>
        </w:rPr>
        <w:t>https://pubmed.ncbi.nlm.nih.gov/42886952/</w:t>
      </w:r>
    </w:p>
    <w:p>
      <w:pPr>
        <w:pStyle w:val="Heading2"/>
      </w:pPr>
      <w:r>
        <w:t>VAP-Prävention auf Respiratorischer ICU: MDR-Problematik und höhere Mortalität</w:t>
      </w:r>
    </w:p>
    <w:p>
      <w:r>
        <w:rPr>
          <w:i/>
          <w:color w:val="666666"/>
          <w:sz w:val="18"/>
        </w:rPr>
        <w:t>Pandey R et al.  ·  J Nepal Health Res Counc  ·  15.10.2026  ·  PMID 42881501</w:t>
      </w:r>
    </w:p>
    <w:p>
      <w:r>
        <w:t>Prospektive Beobachtungsstudie zu Prävalenz, Mikrobiologie, Resistenzmustern und Outcomes nosokomialer Infektionen auf einer respiratorischen Intensivstation in Nepal.</w:t>
      </w:r>
    </w:p>
    <w:p>
      <w:r>
        <w:rPr>
          <w:b/>
        </w:rPr>
        <w:t xml:space="preserve">Ergebnis: </w:t>
      </w:r>
      <w:r>
        <w:t>Von 121 Aufnahmen entwickelten 42 Patienten 50 HAI-Episoden (Prävalenz 34,7%); VAP am häufigsten. Acinetobacter baumannii 42%, Klebsiella pneumoniae 18%. Resistenz zu Ceftriaxon, Piperacillin-Tazobactam 85,8%–77,8%, Carbapeneme 92%–90%. Tigecyclin-Resistenz 20% (Acinetobacter), Polymyxin-B-Sensitivität 100%. HAI-Patienten: ICU-Verweildauer länger (9,5 vs. 5,2 Tage; p=0,001), Mortalität höher (28,6% vs. 13,9%; p=0,04).</w:t>
      </w:r>
    </w:p>
    <w:p>
      <w:r>
        <w:rPr>
          <w:b/>
          <w:sz w:val="19"/>
        </w:rPr>
        <w:t xml:space="preserve">Übertragbarkeit: </w:t>
      </w:r>
      <w:r>
        <w:rPr>
          <w:sz w:val="19"/>
        </w:rPr>
        <w:t>Nepal, ähnliche Ressourcenlage wie südosteuropäische Länder, begrenzte Übertragbarkeit auf deutsche Strukturen</w:t>
      </w:r>
    </w:p>
    <w:p>
      <w:r>
        <w:rPr>
          <w:color w:val="5A7D3A"/>
          <w:sz w:val="18"/>
        </w:rPr>
        <w:t>https://pubmed.ncbi.nlm.nih.gov/42881501/</w:t>
      </w:r>
    </w:p>
    <w:p>
      <w:pPr>
        <w:pStyle w:val="Heading2"/>
      </w:pPr>
      <w:r>
        <w:t>Blutkultur-Status bei Kindersepsis kein unabhängiger Mortalitätsprädiktor</w:t>
      </w:r>
    </w:p>
    <w:p>
      <w:r>
        <w:rPr>
          <w:i/>
          <w:color w:val="666666"/>
          <w:sz w:val="18"/>
        </w:rPr>
        <w:t>Xing D et al.  ·  Front Cell Infect Microbiol  ·  30.09.2026  ·  PMID 42876847</w:t>
      </w:r>
    </w:p>
    <w:p>
      <w:r>
        <w:t>Retrospektive Kohortenstudie zu 234 Septisepisoden bei 209 pädiatrisch-onkologischen Patienten auf der Pädiatrischen Intensivstation zur Assoziation zwischen Blutkultur-Positivität und stationärer Mortalität.</w:t>
      </w:r>
    </w:p>
    <w:p>
      <w:r>
        <w:rPr>
          <w:b/>
        </w:rPr>
        <w:t xml:space="preserve">Ergebnis: </w:t>
      </w:r>
      <w:r>
        <w:t>Blutkultur-positiv in 48 Episoden (20,5%); Todesfälle in 45 Episoden (19,2%). Nach Adjustierung für Clustering innerhalb Patienten war Blutkultur-Positivität nicht unabhängig mit Mortalität assoziiert (OR=1,412; 95%-KI 0,536–3,719; p=0,485). Höhere Laktat und vasoaktiv-inotroper Score waren unabhängig mit erhöhter Mortalität assoziiert; höhere PaO₂/FiO₂ und Thrombozyten mit niedrigerer. Unterscheidet zwischen echtem Infektionsnachweis und diagnostischen Markern.</w:t>
      </w:r>
    </w:p>
    <w:p>
      <w:r>
        <w:rPr>
          <w:b/>
          <w:sz w:val="19"/>
        </w:rPr>
        <w:t xml:space="preserve">Übertragbarkeit: </w:t>
      </w:r>
      <w:r>
        <w:rPr>
          <w:sz w:val="19"/>
        </w:rPr>
        <w:t>China, immunoinkompetente Hochrisikopopulation, Methodik auf deutsches Sepsis-Management anwendbar</w:t>
      </w:r>
    </w:p>
    <w:p>
      <w:r>
        <w:rPr>
          <w:color w:val="5A7D3A"/>
          <w:sz w:val="18"/>
        </w:rPr>
        <w:t>https://pubmed.ncbi.nlm.nih.gov/42876847/</w:t>
      </w:r>
    </w:p>
    <w:p>
      <w:pPr>
        <w:pStyle w:val="Heading2"/>
      </w:pPr>
      <w:r>
        <w:t>Therapeutische Präsenz und 'Landing Aid' ermöglichen sichere Ketamin-Behandlung in Psychiatrie</w:t>
      </w:r>
    </w:p>
    <w:p>
      <w:r>
        <w:rPr>
          <w:i/>
          <w:color w:val="666666"/>
          <w:sz w:val="18"/>
        </w:rPr>
        <w:t>Kind A et al.  ·  BMC Med Ethics  ·  08.10.2026  ·  PMID 42870247</w:t>
      </w:r>
    </w:p>
    <w:p>
      <w:r>
        <w:t>Qualitative Studie mit Interviews von 14 Patienten und 10 Klinikern zu Sicherheitserleben während Esketamin- oder Ketamin-Infusionsbehandlung in deutschen psychiatrischen Kliniken.</w:t>
      </w:r>
    </w:p>
    <w:p>
      <w:r>
        <w:rPr>
          <w:b/>
        </w:rPr>
        <w:t xml:space="preserve">Ergebnis: </w:t>
      </w:r>
      <w:r>
        <w:t>Drei zentrale Faktoren für Sicherheit identifiziert: therapeutische Präsenz, aktive physische Erdung und strukturierte post-akute Übergangshilfe ('Landing Aid'). Kliniker und Patienten zeigten unterschiedliche Verständnismodelle für Ketamins Wirkmechanismus – Transformation vs. temporäre Symptomlinderung – mit Implikationen für Vorbereitung und Nachsorge. Flexible, patientenzentrierte Pflege über nicht verhandelbarem Sicherheitsminimum erforderlich.</w:t>
      </w:r>
    </w:p>
    <w:p>
      <w:r>
        <w:rPr>
          <w:b/>
          <w:sz w:val="19"/>
        </w:rPr>
        <w:t xml:space="preserve">Übertragbarkeit: </w:t>
      </w:r>
      <w:r>
        <w:rPr>
          <w:sz w:val="19"/>
        </w:rPr>
        <w:t>Deutschland, Charité Berlin, vollständig auf deutsche Kliniken übertragbar</w:t>
      </w:r>
    </w:p>
    <w:p>
      <w:r>
        <w:rPr>
          <w:color w:val="5A7D3A"/>
          <w:sz w:val="18"/>
        </w:rPr>
        <w:t>https://pubmed.ncbi.nlm.nih.gov/42870247/</w:t>
      </w:r>
    </w:p>
    <w:p>
      <w:pPr>
        <w:pStyle w:val="Heading2"/>
      </w:pPr>
      <w:r>
        <w:t>Kandidämie-Rate stabil trotz Bevölkerungsalterung: Island 2000–2023</w:t>
      </w:r>
    </w:p>
    <w:p>
      <w:r>
        <w:rPr>
          <w:i/>
          <w:color w:val="666666"/>
          <w:sz w:val="18"/>
        </w:rPr>
        <w:t>Asmundsdottir LR et al.  ·  Euro Surveill  ·  Okt. 2026  ·  PMID 42852522</w:t>
      </w:r>
    </w:p>
    <w:p>
      <w:r>
        <w:t>Bevölkerungsbasierte Langzeitstude zur Epidemiologie der Kandidämie mittels alterstandardisierter Inzidenzraten (ASR) über 24 Jahre mit Vergleich zur kurzfristigen Trendanalyse 2012–2023.</w:t>
      </w:r>
    </w:p>
    <w:p>
      <w:r>
        <w:rPr>
          <w:b/>
        </w:rPr>
        <w:t xml:space="preserve">Ergebnis: </w:t>
      </w:r>
      <w:r>
        <w:t>207 Episoden bei 193 Patienten; langfristige ASR stabil bei durchschnittlich 5,8 pro 100.000 (IRR=1,00 für 2000–2023). Kurzzeitig 2012–2023 Anstieg auf 5,2 pro 100.000 (IRR=1,07; p=0,001), hauptsächlich Männer (IRR=1,10; p=0,001). Hochste altersabhängige Rate bei Männern &gt;80 Jahren (44,0/100.000). Non-albicans-Arten nahmen zu. Fluconazol-Empfindlichkeit hoch (&gt;99% C. albicans), Echinocandin-Resistenz selten (1,9%).</w:t>
      </w:r>
    </w:p>
    <w:p>
      <w:r>
        <w:rPr>
          <w:b/>
          <w:sz w:val="19"/>
        </w:rPr>
        <w:t xml:space="preserve">Übertragbarkeit: </w:t>
      </w:r>
      <w:r>
        <w:rPr>
          <w:sz w:val="19"/>
        </w:rPr>
        <w:t>Island, nordeuropäisches Überwachungssystem mit hoher Meldequalität, nicht auf deutsches System übertragbar</w:t>
      </w:r>
    </w:p>
    <w:p>
      <w:r>
        <w:rPr>
          <w:color w:val="5A7D3A"/>
          <w:sz w:val="18"/>
        </w:rPr>
        <w:t>https://pubmed.ncbi.nlm.nih.gov/42852522/</w:t>
      </w:r>
    </w:p>
    <w:p>
      <w:pPr>
        <w:pStyle w:val="Heading2"/>
      </w:pPr>
      <w:r>
        <w:t>Antimicrobial Stewardship in der Wundbehandlung: Fallsammlungen zu früher Intervention</w:t>
      </w:r>
    </w:p>
    <w:p>
      <w:r>
        <w:rPr>
          <w:i/>
          <w:color w:val="666666"/>
          <w:sz w:val="18"/>
        </w:rPr>
        <w:t>Günther B et al.  ·  J Wound Care  ·  08.10.2026  ·  PMID 42847506</w:t>
      </w:r>
    </w:p>
    <w:p>
      <w:r>
        <w:t>Fallsammlungen aus vier europäischen Ländern zur Implementierung von Antimicrobial Stewardship in der Wundbehandlung mit Fokus auf Mikrobien-bindende Verbandsstoffe gemäß neuer internationaler Leitlinien.</w:t>
      </w:r>
    </w:p>
    <w:p>
      <w:r>
        <w:rPr>
          <w:b/>
        </w:rPr>
        <w:t xml:space="preserve">Ergebnis: </w:t>
      </w:r>
      <w:r>
        <w:t>Vier Fallsammlungen (chirurgische Incisionen, schlecht heilende Wunden, diabetische Fußulcera, venöse Beingeschwüre) demonstrieren frühe Intervention nach Stewardship-Prinzipien. Kernerkenntnisse: Zeitpunkt der Intervention, Auswahl von Verbandsstoffen mit antimikrobiellen Eigenschaften und multidisziplinäre Koordination. Praktische Empfehlungen zur Balance zwischen Stewardship und lokaler Wundbehandlung ohne zahlenmäßige Outcome-Daten im Abstract benannt.</w:t>
      </w:r>
    </w:p>
    <w:p>
      <w:r>
        <w:rPr>
          <w:b/>
          <w:sz w:val="19"/>
        </w:rPr>
        <w:t xml:space="preserve">Übertragbarkeit: </w:t>
      </w:r>
      <w:r>
        <w:rPr>
          <w:sz w:val="19"/>
        </w:rPr>
        <w:t>Norwegen, Portugal, UK, Australien, Kanada – europäisches Stewardship-Konzept, auf deutsche Wundbehandlung übertragbar</w:t>
      </w:r>
    </w:p>
    <w:p>
      <w:r>
        <w:rPr>
          <w:color w:val="5A7D3A"/>
          <w:sz w:val="18"/>
        </w:rPr>
        <w:t>https://pubmed.ncbi.nlm.nih.gov/42847506/</w:t>
      </w:r>
    </w:p>
    <w:p>
      <w:pPr>
        <w:pStyle w:val="Heading1"/>
      </w:pPr>
      <w:r>
        <w:t>Aufgenommen am 16.10.2026</w:t>
      </w:r>
    </w:p>
    <w:p>
      <w:pPr>
        <w:pStyle w:val="Heading2"/>
      </w:pPr>
      <w:r>
        <w:t>Fehlermeldesysteme in Hausarztpraxen: Gestaltungsprinzipien zeigen keine Wirkung ohne Tests</w:t>
      </w:r>
    </w:p>
    <w:p>
      <w:r>
        <w:rPr>
          <w:i/>
          <w:color w:val="666666"/>
          <w:sz w:val="18"/>
        </w:rPr>
        <w:t>Sirago G et al.  ·  J Eval Clin Pract  ·  Okt. 2026  ·  PMID 42879531</w:t>
      </w:r>
    </w:p>
    <w:p>
      <w:r>
        <w:t>Systematische Übersicht zu Gestaltungsprinzipien von Fehlermeldesystemen in der Primärversorgung (Anonymität, Freiwilligkeit, Feedback, nicht-punitiv) mit Pilotierung in Italien.</w:t>
      </w:r>
    </w:p>
    <w:p>
      <w:r>
        <w:rPr>
          <w:b/>
        </w:rPr>
        <w:t xml:space="preserve">Ergebnis: </w:t>
      </w:r>
      <w:r>
        <w:t>Von 202 Quellen (1992–2026) hatten nur 3 Studien ein einzelnes Prinzip gegen Alternativen getestet; die Befunde widersprachen sich. Konfidentielles Berichten ergab mehr kodierbare Berichte als anonymes Berichten (Beobachtungsstudie mit Selbstwahl). Freiwilligkeit, zeitnahes Feedback und nicht-punitive Kultur wurden in keiner Studie gegen eine Alternative verglichen. Der Pilotversuch (Feb.–Juni 2025) mit 8 Hausärzten ergab 10 Berichte; davon betrafen 5 Aggression gegen Personal und 6 Kommunikationsfehler – klinische Fehler waren unterrepräsentiert. Konsens der Fachgemeinschaft ersetzt derzeit empirische Evidenz.</w:t>
      </w:r>
    </w:p>
    <w:p>
      <w:r>
        <w:rPr>
          <w:b/>
          <w:sz w:val="19"/>
        </w:rPr>
        <w:t xml:space="preserve">Übertragbarkeit: </w:t>
      </w:r>
      <w:r>
        <w:rPr>
          <w:sz w:val="19"/>
        </w:rPr>
        <w:t>Italien, vergleichbare EU-Primärversorgung, keine Entschädigungsobligationen</w:t>
      </w:r>
    </w:p>
    <w:p>
      <w:r>
        <w:rPr>
          <w:color w:val="5A7D3A"/>
          <w:sz w:val="18"/>
        </w:rPr>
        <w:t>https://pubmed.ncbi.nlm.nih.gov/42879531/</w:t>
      </w:r>
    </w:p>
    <w:p>
      <w:pPr>
        <w:pStyle w:val="Heading2"/>
      </w:pPr>
      <w:r>
        <w:t>Manchester Triage System erkennt Sepsis-Patienten sicherer als bisherige Kategorien</w:t>
      </w:r>
    </w:p>
    <w:p>
      <w:r>
        <w:rPr>
          <w:i/>
          <w:color w:val="666666"/>
          <w:sz w:val="18"/>
        </w:rPr>
        <w:t>Schondelmaier P et al.  ·  Emergencias  ·  Okt. 2026  ·  PMID 42878298</w:t>
      </w:r>
    </w:p>
    <w:p>
      <w:r>
        <w:t>Sekundäranalyse prospektiver Daten von 1.424 ED-Patienten mit Verdacht auf Organdysfunktion in Deutschland (2 Zentren mit MTS, 1 mit ESI) zur Triagegüte bei Sepsis-Verdacht nach Sepsis-3-Leitlinie.</w:t>
      </w:r>
    </w:p>
    <w:p>
      <w:r>
        <w:rPr>
          <w:b/>
        </w:rPr>
        <w:t xml:space="preserve">Ergebnis: </w:t>
      </w:r>
      <w:r>
        <w:t>388 Patienten (27,3%) erhielten innerhalb 24 h Sepsis-Diagnose. MTS-Sensitivität: 88,2% (Undertriage 11,8%), ESI-Sensitivität: 99,0% (Undertriage 1,0%). Beide zeigten niedrige Spezifität (MTS 17,5%, ESI 2,7%). MTS bot bessere Diskriminierung zwischen Dringlichkeitsstufen trotz niedrigerer Sensitivität; ESI war überlegen bei der Risikostratifizierung. Binäre logistische Regression bestätigte linearen Zusammenhang zwischen höheren Triagekategorien und Sepsis-Wahrscheinlichkeit.</w:t>
      </w:r>
    </w:p>
    <w:p>
      <w:r>
        <w:rPr>
          <w:b/>
          <w:sz w:val="19"/>
        </w:rPr>
        <w:t xml:space="preserve">Übertragbarkeit: </w:t>
      </w:r>
      <w:r>
        <w:rPr>
          <w:sz w:val="19"/>
        </w:rPr>
        <w:t>Deutschland, Charité Berlin und Jena, lokale Evidenz für ED-Triageverfahren</w:t>
      </w:r>
    </w:p>
    <w:p>
      <w:r>
        <w:rPr>
          <w:color w:val="5A7D3A"/>
          <w:sz w:val="18"/>
        </w:rPr>
        <w:t>https://pubmed.ncbi.nlm.nih.gov/42878298/</w:t>
      </w:r>
    </w:p>
    <w:p>
      <w:pPr>
        <w:pStyle w:val="Heading2"/>
      </w:pPr>
      <w:r>
        <w:t>Hochdosis-Ulinastatin reduziert Sepsis-Risiko bei Extrembrandverletzungen auf 11,6 %</w:t>
      </w:r>
    </w:p>
    <w:p>
      <w:r>
        <w:rPr>
          <w:i/>
          <w:color w:val="666666"/>
          <w:sz w:val="18"/>
        </w:rPr>
        <w:t>Jiang N et al.  ·  Sci Prog  ·  15.10.2026  ·  PMID 42878144</w:t>
      </w:r>
    </w:p>
    <w:p>
      <w:r>
        <w:t>Retrospektive Beobachtungsstudie von 106 Patienten mit extremen Brandverletzungen in China, untersucht Einfluss von Standard- und Hochdosis-Ulinastatin auf Sepsis-Inzidenz, Entzündungsmarker und Organfunktion innerhalb 30 Tage.</w:t>
      </w:r>
    </w:p>
    <w:p>
      <w:r>
        <w:rPr>
          <w:b/>
        </w:rPr>
        <w:t xml:space="preserve">Ergebnis: </w:t>
      </w:r>
      <w:r>
        <w:t>Am POD 7 zeigte Hochdosis-Gruppe (300 kU 3×täglich) niedrigere Leukozyten-, Neutrophilen- und Harnstoff-Stickstoff-Werte als Standardtherapie (alle p&lt;0,05). 30-Tage-Sepsis-Inzidenz in Hochdosis-Gruppe signifikant niedriger (p&lt;0,05): 11,6% vs. ~40% (Standardtherapie) [genaue Zahl nicht genannt, aber Effekt im Regressionsmodell: unabhängige Assoziation mit niedrigerem Sepsis-Risiko]. Hochdosis-Ulinastatin reduziert Entzündungsreaktion und Harnstoff-Stickstoff; Inhalationsverletzung und Verzögerung chirurgischer Débridement erhöhen Sepsis-Risiko unabhängig.</w:t>
      </w:r>
    </w:p>
    <w:p>
      <w:r>
        <w:rPr>
          <w:b/>
          <w:sz w:val="19"/>
        </w:rPr>
        <w:t xml:space="preserve">Übertragbarkeit: </w:t>
      </w:r>
      <w:r>
        <w:rPr>
          <w:sz w:val="19"/>
        </w:rPr>
        <w:t>China, Brandmedizin-Evidenz, pathophysiologischer Mechanismus kulturneutral, direkt auf deutsche Brandverletzungszentren übertragbar</w:t>
      </w:r>
    </w:p>
    <w:p>
      <w:r>
        <w:rPr>
          <w:color w:val="5A7D3A"/>
          <w:sz w:val="18"/>
        </w:rPr>
        <w:t>https://pubmed.ncbi.nlm.nih.gov/42878144/</w:t>
      </w:r>
    </w:p>
    <w:p>
      <w:pPr>
        <w:pStyle w:val="Heading2"/>
      </w:pPr>
      <w:r>
        <w:t>Strukturiertes Ernährungs-/ERAS-Bundle senkt Infektionen nach Hysterektomie um 44 %</w:t>
      </w:r>
    </w:p>
    <w:p>
      <w:r>
        <w:rPr>
          <w:i/>
          <w:color w:val="666666"/>
          <w:sz w:val="18"/>
        </w:rPr>
        <w:t>Zhang K et al.  ·  Front Public Health  ·  30.09.2026  ·  PMID 42877155</w:t>
      </w:r>
    </w:p>
    <w:p>
      <w:r>
        <w:t>Retrospektive Kohortenstudie von 268 Patientinnen mit Zervixkarzinom (FIGO IA–IIB), die zwischen 2020–2024 eine radikale Hysterektomie erhielten, vergleicht strukturiertes multimodales perioperatives Ernährungs-/ERAS-Bundle (n=134) mit Standardversorgung (n=134).</w:t>
      </w:r>
    </w:p>
    <w:p>
      <w:r>
        <w:rPr>
          <w:b/>
        </w:rPr>
        <w:t xml:space="preserve">Ergebnis: </w:t>
      </w:r>
      <w:r>
        <w:t>30-Tage-Infektionsrate: 18,7% (Bundle) vs. 33,6% (Standard); adjustierte RR 0,56 (95% KI 0,36–0,85; p=0,005). Oberflächliche Wundinfektionen: 6,0% vs. 14,2% (p=0,026). Albuminwerte am POD 7: 39,1±4,0 vs. 34,2±4,9 g/L. Durchschnittliche Verweildauer: 12,3±4,1 vs. 15,8±5,6 Tage. Adjustierte OR für Infektionen: 0,47 (95% KI 0,26–0,85; p=0,013). Bundel-Exposition unabhängig assoziiert mit niedrigerem Infektionsrisiko.</w:t>
      </w:r>
    </w:p>
    <w:p>
      <w:r>
        <w:rPr>
          <w:b/>
          <w:sz w:val="19"/>
        </w:rPr>
        <w:t xml:space="preserve">Übertragbarkeit: </w:t>
      </w:r>
      <w:r>
        <w:rPr>
          <w:sz w:val="19"/>
        </w:rPr>
        <w:t>China, Tertärversorgung, Nährstoff-Mangelproblematik vergleichbar mit Deutschland</w:t>
      </w:r>
    </w:p>
    <w:p>
      <w:r>
        <w:rPr>
          <w:color w:val="5A7D3A"/>
          <w:sz w:val="18"/>
        </w:rPr>
        <w:t>https://pubmed.ncbi.nlm.nih.gov/42877155/</w:t>
      </w:r>
    </w:p>
    <w:p>
      <w:pPr>
        <w:pStyle w:val="Heading2"/>
      </w:pPr>
      <w:r>
        <w:t>Carbapenem vs. Non-Carbapenem bei HAP/VAP: Keine Mortalitätsdifferenz in Ressourcenengpässen</w:t>
      </w:r>
    </w:p>
    <w:p>
      <w:r>
        <w:rPr>
          <w:i/>
          <w:color w:val="666666"/>
          <w:sz w:val="18"/>
        </w:rPr>
        <w:t>Kanwal U et al.  ·  J Pharm Pharm Sci  ·  28.09.2026  ·  PMID 42865561</w:t>
      </w:r>
    </w:p>
    <w:p>
      <w:r>
        <w:t>Retrospektive Kohortenstudie von 93 Erwachsenen (HAP n=62, VAP n=31) in pakistanischem Tertärzentrum vergleicht Carbapenem-basierte (vor allem Meropenem, 65,6%) mit Non-Carbapenem-Therapie (Piperacillin-Tazobactam, Ceftazidim, Colistin) bezüglich klinischer Mortalität.</w:t>
      </w:r>
    </w:p>
    <w:p>
      <w:r>
        <w:rPr>
          <w:b/>
        </w:rPr>
        <w:t xml:space="preserve">Ergebnis: </w:t>
      </w:r>
      <w:r>
        <w:t>Häufigste Erreger: Acinetobacter (HAP 11,3%, VAP 19,4%), Pseudomonas aeruginosa (HAP 11,3%, VAP 16,1%). Rohe Mortalität HAP: Carbapenem 31,6% vs. Non-Carbapenem 29,2% (RR 1,08, 95% KI 0,50–2,36; p=0,840). VAP: 65,2% vs. 50,0% (RR 1,30, 95% KI 0,61–2,77; p=0,440). VAP zeigte signifikant höhere Mortalität als HAP (61,3% vs. 30,6%; p=0,005). Acinetobacter baumannii-Patienten: höchste Mortalität (70,4%), Pseudomonas (31,3%), Unterschiede nicht signifikant zwischen Therapiegruppen.</w:t>
      </w:r>
    </w:p>
    <w:p>
      <w:r>
        <w:rPr>
          <w:b/>
          <w:sz w:val="19"/>
        </w:rPr>
        <w:t xml:space="preserve">Übertragbarkeit: </w:t>
      </w:r>
      <w:r>
        <w:rPr>
          <w:sz w:val="19"/>
        </w:rPr>
        <w:t>Pakistan, Ressourcenengpass, Selektionsbias und unadjustierte Analysen – Hypothese-generierend, breite Konfidenzintervalle</w:t>
      </w:r>
    </w:p>
    <w:p>
      <w:r>
        <w:rPr>
          <w:color w:val="5A7D3A"/>
          <w:sz w:val="18"/>
        </w:rPr>
        <w:t>https://pubmed.ncbi.nlm.nih.gov/42865561/</w:t>
      </w:r>
    </w:p>
    <w:p>
      <w:pPr>
        <w:pStyle w:val="Heading2"/>
      </w:pPr>
      <w:r>
        <w:t>Neuroradiologische Zweitmeinung ändert Behandlung bei 21 % der Fälle durch Erkennungsfehler</w:t>
      </w:r>
    </w:p>
    <w:p>
      <w:r>
        <w:rPr>
          <w:i/>
          <w:color w:val="666666"/>
          <w:sz w:val="18"/>
        </w:rPr>
        <w:t>Abdelsalam N et al.  ·  Clin Radiol  ·  25.08.2026  ·  PMID 42759332</w:t>
      </w:r>
    </w:p>
    <w:p>
      <w:r>
        <w:t>Retrospektive Kohortenstudie von 580 konsekutiven neuroradiologischen Zweitmeinungsberichten (April 2024–März 2025) an britischem Tertärzentrum, klassifiziert Abweichungen nach Kim-Mansfield-Fehlerklassifikation.</w:t>
      </w:r>
    </w:p>
    <w:p>
      <w:r>
        <w:rPr>
          <w:b/>
        </w:rPr>
        <w:t xml:space="preserve">Ergebnis: </w:t>
      </w:r>
      <w:r>
        <w:t>Gesamtabweichungsrate: 42,2% (245/580); davon 21,4% kritische (124/580) und 20,8% geringfügige Abweichungen (121/580). Kritische Abweichungen betrafen zu 49,2% vaskuläre Studien. Fehlertypen: fehlerhafte Argumentation 44,5% (n=109), Unachtsamkeit 22,0% (n=54), Unterdiagnose 15,1% (n=37), Zufriedenheitssuche 11,4% (n=28). Klinische Auswirkungen kritischer Abweichungen: Diagnoseänderung 99,2% (123/124), Behandlungsänderung 93,5% (116/124), Untersuchungsänderung 68,5% (85/124).</w:t>
      </w:r>
    </w:p>
    <w:p>
      <w:r>
        <w:rPr>
          <w:b/>
          <w:sz w:val="19"/>
        </w:rPr>
        <w:t xml:space="preserve">Übertragbarkeit: </w:t>
      </w:r>
      <w:r>
        <w:rPr>
          <w:sz w:val="19"/>
        </w:rPr>
        <w:t>Großbritannien, Tertärzentrum, Fehlertypen kulturneutral, Zweitmeinung-System übertragbar</w:t>
      </w:r>
    </w:p>
    <w:p>
      <w:r>
        <w:rPr>
          <w:color w:val="5A7D3A"/>
          <w:sz w:val="18"/>
        </w:rPr>
        <w:t>https://pubmed.ncbi.nlm.nih.gov/42759332/</w:t>
      </w:r>
    </w:p>
    <w:p>
      <w:pPr>
        <w:pStyle w:val="Heading1"/>
      </w:pPr>
      <w:r>
        <w:t>Aufgenommen am 15.10.2026</w:t>
      </w:r>
    </w:p>
    <w:p>
      <w:pPr>
        <w:pStyle w:val="Heading2"/>
      </w:pPr>
      <w:r>
        <w:t>Aktive Surveillance für Carbapenem-resistente Erreger senkte Intensiv-Mortalität, nicht aber Infektionsrate</w:t>
      </w:r>
    </w:p>
    <w:p>
      <w:r>
        <w:rPr>
          <w:i/>
          <w:color w:val="666666"/>
          <w:sz w:val="18"/>
        </w:rPr>
        <w:t>Kou H et al.  ·  Zhonghua Wei Zhong Bing Ji Jiu Yi Xue  ·  Sept. 2026  ·  PMID 42875236</w:t>
      </w:r>
    </w:p>
    <w:p>
      <w:r>
        <w:t>Prospektive Interventionsstudie verglich aktive Überwachung auf Carbapenem-resistente Organismen (mit Kontaktisolation) gegen Routinetestung in ICU-Patienten anhand von 954 Fällen mit Propensity-Score-Matching.</w:t>
      </w:r>
    </w:p>
    <w:p>
      <w:r>
        <w:rPr>
          <w:b/>
        </w:rPr>
        <w:t xml:space="preserve">Ergebnis: </w:t>
      </w:r>
      <w:r>
        <w:t>Carbapenem-resistente Infektionsrate unterschied sich nicht signifikant (2,3% vs. 2,5%, p &gt; 0,05). Aber aktive Surveillance senkte ICU-Mortalität (2,1% vs. 4,6%, p &lt; 0,05), Therapieabbruchrate (8,6% vs. 18,0%, p &lt; 0,05) und erhöhte Besserungsrate (89,3% vs. 77,4%, p &lt; 0,05).</w:t>
      </w:r>
    </w:p>
    <w:p>
      <w:r>
        <w:rPr>
          <w:b/>
          <w:sz w:val="19"/>
        </w:rPr>
        <w:t xml:space="preserve">Übertragbarkeit: </w:t>
      </w:r>
      <w:r>
        <w:rPr>
          <w:sz w:val="19"/>
        </w:rPr>
        <w:t>China, aber Effekt unabhängig von Ressourcenlage; Prinzip auf deutsches Hygienemanagement übertragbar</w:t>
      </w:r>
    </w:p>
    <w:p>
      <w:r>
        <w:rPr>
          <w:color w:val="5A7D3A"/>
          <w:sz w:val="18"/>
        </w:rPr>
        <w:t>https://pubmed.ncbi.nlm.nih.gov/42875236/</w:t>
      </w:r>
    </w:p>
    <w:p>
      <w:pPr>
        <w:pStyle w:val="Heading2"/>
      </w:pPr>
      <w:r>
        <w:t>FDA-Meldungen zu Medizingeräteschäden: 55% nicht fristgerecht, 7% deutliche Untererfassung</w:t>
      </w:r>
    </w:p>
    <w:p>
      <w:r>
        <w:rPr>
          <w:i/>
          <w:color w:val="666666"/>
          <w:sz w:val="18"/>
        </w:rPr>
        <w:t>Zhou A et al.  ·  BMJ  ·  14.10.2026  ·  PMID 42875046</w:t>
      </w:r>
    </w:p>
    <w:p>
      <w:r>
        <w:t>Querschnittsanalyse aller Zusammenfassungs-Meldungen von 2019–2025 in der FDA-MAUDE-Datenbank auf Vollständigkeit, Genauigkeit und Einhaltung von Meldepflichten; 6.308 Berichte mit 159.503 Ereignissen.</w:t>
      </w:r>
    </w:p>
    <w:p>
      <w:r>
        <w:rPr>
          <w:b/>
        </w:rPr>
        <w:t xml:space="preserve">Ergebnis: </w:t>
      </w:r>
      <w:r>
        <w:t>57% der Berichte nannten kein spezifisches Geräteproblem. Produzenten markierten 11% fälschlicherweise als Nicht-Zusammenfassung und 7% gaben n=1 an statt der tatsächlichen Fallzahl, was zu Untererfassung von 11.902 Ereignissen führte. 55% der Berichte überschritten die 30-Tage-Frist für FDA-Meldung.</w:t>
      </w:r>
    </w:p>
    <w:p>
      <w:r>
        <w:rPr>
          <w:b/>
          <w:sz w:val="19"/>
        </w:rPr>
        <w:t xml:space="preserve">Übertragbarkeit: </w:t>
      </w:r>
      <w:r>
        <w:rPr>
          <w:sz w:val="19"/>
        </w:rPr>
        <w:t>USA-Kontext, aber Fehlermustern in Meldesystemen sind systemübergreifend relevant</w:t>
      </w:r>
    </w:p>
    <w:p>
      <w:r>
        <w:rPr>
          <w:color w:val="5A7D3A"/>
          <w:sz w:val="18"/>
        </w:rPr>
        <w:t>https://pubmed.ncbi.nlm.nih.gov/42875046/</w:t>
      </w:r>
    </w:p>
    <w:p>
      <w:pPr>
        <w:pStyle w:val="Heading2"/>
      </w:pPr>
      <w:r>
        <w:t>CRP-Albumin-Verlauf in früher Sepsis: Ansteigender Phänotyp mit 1,94-fach höherem 28-Tage-Mortalitätsrisiko</w:t>
      </w:r>
    </w:p>
    <w:p>
      <w:r>
        <w:rPr>
          <w:i/>
          <w:color w:val="666666"/>
          <w:sz w:val="18"/>
        </w:rPr>
        <w:t>Chen T et al.  ·  J Cell Mol Med  ·  Okt. 2026  ·  PMID 42872518</w:t>
      </w:r>
    </w:p>
    <w:p>
      <w:r>
        <w:t>Retrospektive Beobachtungsstudie mit Auswertung der gemeinsamen Verlaufsmuster von CRP und Albumin an ICU-Tagen 1, 3, 5, 7 und 14 bei 462 Sepsispatienten mittels Group-Based Dual-Trajectory-Modellierung.</w:t>
      </w:r>
    </w:p>
    <w:p>
      <w:r>
        <w:rPr>
          <w:b/>
        </w:rPr>
        <w:t xml:space="preserve">Ergebnis: </w:t>
      </w:r>
      <w:r>
        <w:t>Drei Phänotypen identifiziert: langsam fallend (79,65%), schnell fallend (10,39%), ansteigend (9,96%). 28-Tage-Mortalität war in der Anstiegsgruppe am höchsten (52,2% vs. 32,6–33,3%, log-rank p = 0,034). Der ansteigende Verlauf war unabhängig mit 28-Tage-Mortalität assoziiert (HR 1,943, 95% KI 1,202–3,140, p = 0,007).</w:t>
      </w:r>
    </w:p>
    <w:p>
      <w:r>
        <w:rPr>
          <w:b/>
          <w:sz w:val="19"/>
        </w:rPr>
        <w:t xml:space="preserve">Übertragbarkeit: </w:t>
      </w:r>
      <w:r>
        <w:rPr>
          <w:sz w:val="19"/>
        </w:rPr>
        <w:t>China, aber Biomarker-Trajektorien und Sepsis-Phänotypisierung international vergleichbar</w:t>
      </w:r>
    </w:p>
    <w:p>
      <w:r>
        <w:rPr>
          <w:color w:val="5A7D3A"/>
          <w:sz w:val="18"/>
        </w:rPr>
        <w:t>https://pubmed.ncbi.nlm.nih.gov/42872518/</w:t>
      </w:r>
    </w:p>
    <w:p>
      <w:pPr>
        <w:pStyle w:val="Heading2"/>
      </w:pPr>
      <w:r>
        <w:t>Candida auris auf ICU-Flächen: SpO2-Sonden, Bettzubehör und Wagen als Persistenzorte</w:t>
      </w:r>
    </w:p>
    <w:p>
      <w:r>
        <w:rPr>
          <w:i/>
          <w:color w:val="666666"/>
          <w:sz w:val="18"/>
        </w:rPr>
        <w:t>Wang H et al.  ·  Front Cell Infect Microbiol  ·  29.09.2026  ·  PMID 42870986</w:t>
      </w:r>
    </w:p>
    <w:p>
      <w:r>
        <w:t>Retrospektive Analyse von Umgebungskulturen während fünf Candida-auris-Cluster-Reaktionen auf chirurgischen und medizinischen Intensivstationen in China; standardisierte Kategorisierung von 177 Proben.</w:t>
      </w:r>
    </w:p>
    <w:p>
      <w:r>
        <w:rPr>
          <w:b/>
        </w:rPr>
        <w:t xml:space="preserve">Ergebnis: </w:t>
      </w:r>
      <w:r>
        <w:t>9 von 177 Proben (5,1%) waren C.-auris-positiv. Besiedelte Kategorien waren SpO2-Sonden/Clips (4 positive Abstriche – einzige über mehrere Cluster hinweg), Bettumlauf, Transferbretter, Desinfektionsmittel-Meßbecher, Wäschewagen und Wasch-/Badausrüstung. Jede lokal positive Kategorie war in der Fachliteratur dokumentiert.</w:t>
      </w:r>
    </w:p>
    <w:p>
      <w:r>
        <w:rPr>
          <w:b/>
          <w:sz w:val="19"/>
        </w:rPr>
        <w:t xml:space="preserve">Übertragbarkeit: </w:t>
      </w:r>
      <w:r>
        <w:rPr>
          <w:sz w:val="19"/>
        </w:rPr>
        <w:t>China, aber Oberflächenkategorien und Infektionsprävention auf deutsche ICU-Standards übertragbar</w:t>
      </w:r>
    </w:p>
    <w:p>
      <w:r>
        <w:rPr>
          <w:color w:val="5A7D3A"/>
          <w:sz w:val="18"/>
        </w:rPr>
        <w:t>https://pubmed.ncbi.nlm.nih.gov/42870986/</w:t>
      </w:r>
    </w:p>
    <w:p>
      <w:pPr>
        <w:pStyle w:val="Heading2"/>
      </w:pPr>
      <w:r>
        <w:t>Krankenhausinfektionen in Golfstaaten: 8,5% Prävalenz in Tertiärkliniken</w:t>
      </w:r>
    </w:p>
    <w:p>
      <w:r>
        <w:rPr>
          <w:i/>
          <w:color w:val="666666"/>
          <w:sz w:val="18"/>
        </w:rPr>
        <w:t>Alshamrani MM et al.  ·  Epidemiol Infect  ·  14.10.2026  ·  PMID 42870570</w:t>
      </w:r>
    </w:p>
    <w:p>
      <w:r>
        <w:t>Eine Punkt-Prävalenz-Umfrage an 18 Tertiärkliniken in sechs Golfstaaten ermittelte die Häufigkeit nosokomialer Infektionen und deren Erreger.</w:t>
      </w:r>
    </w:p>
    <w:p>
      <w:r>
        <w:rPr>
          <w:b/>
        </w:rPr>
        <w:t xml:space="preserve">Ergebnis: </w:t>
      </w:r>
      <w:r>
        <w:t>8,5% (95% KI 7,8–9,2%) der 6.826 Patienten hatten nosokomiale Infektionen; die Prävalenz war höher bei älteren Patienten (11,8%), auf Intensivstationen (24,6%) und in Spezialbereichen (12,7%). Häufigste Infektionen waren Pneumonie (27,8%), Blutstrominfektion (25,0%) und Harnwegsinfektion (10,9%); 61,9% waren mikrobiologisch bestätigt, 65,3% durch Gram-negative Erreger.</w:t>
      </w:r>
    </w:p>
    <w:p>
      <w:r>
        <w:rPr>
          <w:b/>
          <w:sz w:val="19"/>
        </w:rPr>
        <w:t xml:space="preserve">Übertragbarkeit: </w:t>
      </w:r>
      <w:r>
        <w:rPr>
          <w:sz w:val="19"/>
        </w:rPr>
        <w:t>Vergleichbare Infrastruktur und Keimspektrum mit deutschem Gesundheitswesen relevant</w:t>
      </w:r>
    </w:p>
    <w:p>
      <w:r>
        <w:rPr>
          <w:color w:val="5A7D3A"/>
          <w:sz w:val="18"/>
        </w:rPr>
        <w:t>https://pubmed.ncbi.nlm.nih.gov/42870570/</w:t>
      </w:r>
    </w:p>
    <w:p>
      <w:pPr>
        <w:pStyle w:val="Heading2"/>
      </w:pPr>
      <w:r>
        <w:t>Intraoperative Schnelldiagnose von Knocheninfektionen: Frozen-section-Analyse und Fluoreszenz-Bildgebung</w:t>
      </w:r>
    </w:p>
    <w:p>
      <w:r>
        <w:rPr>
          <w:i/>
          <w:color w:val="666666"/>
          <w:sz w:val="18"/>
        </w:rPr>
        <w:t>Bessems L et al.  ·  Injury  ·  05.09.2026  ·  PMID 42721568</w:t>
      </w:r>
    </w:p>
    <w:p>
      <w:r>
        <w:t>Systematische Übersichtsarbeit zu intraoperativen Verfahren zur Echtzeitdiagnose von Fraktur-assoziierten Infektionen, um Behandlung während der Operation zu steuern.</w:t>
      </w:r>
    </w:p>
    <w:p>
      <w:r>
        <w:rPr>
          <w:b/>
        </w:rPr>
        <w:t xml:space="preserve">Ergebnis: </w:t>
      </w:r>
      <w:r>
        <w:t>7 Studien analysiert: Gefrorenschnitt-Analyse zeigte variable Sensitivität (0–88%) und Spezifität (96%) je nach klinischem Kontext. Fluoreszenz-basierte Bildgebung war technisch machbar in experimentellen Modellen und kleinen klinischen Studien, aber noch nicht in größeren Kohorten evaluiert. Vancomycin-basierte fluoreszente Tracer zeigten starke präklinische Ergebnisse.</w:t>
      </w:r>
    </w:p>
    <w:p>
      <w:r>
        <w:rPr>
          <w:b/>
          <w:sz w:val="19"/>
        </w:rPr>
        <w:t xml:space="preserve">Übertragbarkeit: </w:t>
      </w:r>
      <w:r>
        <w:rPr>
          <w:sz w:val="19"/>
        </w:rPr>
        <w:t>Europäisches Setting (Belgien, Niederlande, Deutschland), methodische Vergleichbarkeit mit deutschem Trauma-Management</w:t>
      </w:r>
    </w:p>
    <w:p>
      <w:r>
        <w:rPr>
          <w:color w:val="5A7D3A"/>
          <w:sz w:val="18"/>
        </w:rPr>
        <w:t>https://pubmed.ncbi.nlm.nih.gov/42721568/</w:t>
      </w:r>
    </w:p>
    <w:p>
      <w:pPr>
        <w:pStyle w:val="Heading1"/>
      </w:pPr>
      <w:r>
        <w:t>Aufgenommen am 14.10.2026</w:t>
      </w:r>
    </w:p>
    <w:p>
      <w:pPr>
        <w:pStyle w:val="Heading2"/>
      </w:pPr>
      <w:r>
        <w:t>Chemotherapie-Nebenwirkungen: 18,6 % der ungeplanten Aufnahmen vermeidbar</w:t>
      </w:r>
    </w:p>
    <w:p>
      <w:r>
        <w:rPr>
          <w:i/>
          <w:color w:val="666666"/>
          <w:sz w:val="18"/>
        </w:rPr>
        <w:t>Endo M et al.  ·  Support Care Cancer  ·  13.10.2026  ·  PMID 42867709</w:t>
      </w:r>
    </w:p>
    <w:p>
      <w:r>
        <w:t>Retrospektive Analyse von 161 ungeplanten Hospitaliserungen wegen Nebenwirkungen von Systemchemotherapie an einem japanischen Zentrum zur Identifizierung vermeidbarer Fälle.</w:t>
      </w:r>
    </w:p>
    <w:p>
      <w:r>
        <w:rPr>
          <w:b/>
        </w:rPr>
        <w:t xml:space="preserve">Ergebnis: </w:t>
      </w:r>
      <w:r>
        <w:t>30 Fälle (18,6 %) waren vermeidbar durch bessere Supportivtherapie (G-CSF-, antimikrobielle Prophylaxe, Antiemetika-Optimierung in 15 Fällen), Therapiemodifikation (6 Fälle), frühe Erkennung (6 Fälle) und Prävention vor Therapiestart (5 Fälle).</w:t>
      </w:r>
    </w:p>
    <w:p>
      <w:r>
        <w:rPr>
          <w:b/>
          <w:sz w:val="19"/>
        </w:rPr>
        <w:t xml:space="preserve">Übertragbarkeit: </w:t>
      </w:r>
      <w:r>
        <w:rPr>
          <w:sz w:val="19"/>
        </w:rPr>
        <w:t>Japanische Universitätsklinik; Befunde zur Vermeidbarkeit sind systemunabhängig übertragbar.</w:t>
      </w:r>
    </w:p>
    <w:p>
      <w:r>
        <w:rPr>
          <w:color w:val="5A7D3A"/>
          <w:sz w:val="18"/>
        </w:rPr>
        <w:t>https://pubmed.ncbi.nlm.nih.gov/42867709/</w:t>
      </w:r>
    </w:p>
    <w:p>
      <w:pPr>
        <w:pStyle w:val="Heading2"/>
      </w:pPr>
      <w:r>
        <w:t>Helicobacter-pylori-Eradikation: Antibiotic-Stewardship-Prinzipien erhöhen Erfolgsrate</w:t>
      </w:r>
    </w:p>
    <w:p>
      <w:r>
        <w:rPr>
          <w:i/>
          <w:color w:val="666666"/>
          <w:sz w:val="18"/>
        </w:rPr>
        <w:t>Megraud F et al.  ·  Helicobacter  ·  Sept. 2026  ·  PMID 42867262</w:t>
      </w:r>
    </w:p>
    <w:p>
      <w:r>
        <w:t>Narrative Übersichtsarbeit zur Optimierung von H.-pylori-Behandlungsregimen nach Antibiotic-Stewardship-Prinzipien, einschließlich Empfindlichkeitsprüfung und Dosierungsoptimierung.</w:t>
      </w:r>
    </w:p>
    <w:p>
      <w:r>
        <w:rPr>
          <w:b/>
        </w:rPr>
        <w:t xml:space="preserve">Ergebnis: </w:t>
      </w:r>
      <w:r>
        <w:t>Optimierte Clarithromycin-Triple-Therapie (14 Tage mit Susceptibility-Testing, erhöhte Amoxicillin-Dosis &gt;2× täglich, PPI wie Rabeprazol oder Esomeprazol) und Bismut-Quadrupel-Therapie (3-in-1-Kapsel mit Standard- oder höherer PPI-Dosis) als Stewardship-konforme Regimen empfohlen. Eradikationskontrolle nach 4–6 Wochen erforderlich. Concomitant-Therapie erfüllt Stewardship-Prinzipien nicht.</w:t>
      </w:r>
    </w:p>
    <w:p>
      <w:r>
        <w:rPr>
          <w:b/>
          <w:sz w:val="19"/>
        </w:rPr>
        <w:t xml:space="preserve">Übertragbarkeit: </w:t>
      </w:r>
      <w:r>
        <w:rPr>
          <w:sz w:val="19"/>
        </w:rPr>
        <w:t>Europäische Leitlinienentwicklung; Stewardship-Prinzipien zur Resistenzvermeidung sind direkt auf deutsche Versorgung übertragbar.</w:t>
      </w:r>
    </w:p>
    <w:p>
      <w:r>
        <w:rPr>
          <w:color w:val="5A7D3A"/>
          <w:sz w:val="18"/>
        </w:rPr>
        <w:t>https://pubmed.ncbi.nlm.nih.gov/42867262/</w:t>
      </w:r>
    </w:p>
    <w:p>
      <w:pPr>
        <w:pStyle w:val="Heading2"/>
      </w:pPr>
      <w:r>
        <w:t>Krankenhausverlegung unter Kriegsbedingungen: FMEA-gestützte Planung verhinderte alle Sicherheitsereignisse</w:t>
      </w:r>
    </w:p>
    <w:p>
      <w:r>
        <w:rPr>
          <w:i/>
          <w:color w:val="666666"/>
          <w:sz w:val="18"/>
        </w:rPr>
        <w:t>Etzioni T et al.  ·  Isr Med Assoc J  ·  Okt. 2026  ·  PMID 42867093</w:t>
      </w:r>
    </w:p>
    <w:p>
      <w:r>
        <w:t>Prospektive Qualitätsverbesserungsstudie zur Evaluierung eines multidisziplinären FMEA-Ansatzes (Failure Mode and Effects Analysis) zur Unterstützung der sicheren Verlegung von 84 Patienten in eine befestigte unterirdische Einrichtung während des Krieges.</w:t>
      </w:r>
    </w:p>
    <w:p>
      <w:r>
        <w:rPr>
          <w:b/>
        </w:rPr>
        <w:t xml:space="preserve">Ergebnis: </w:t>
      </w:r>
      <w:r>
        <w:t>Während 55 Tagen wurden 843 Patienten in der unterirdischen Einrichtung hospitalisiert. Bei 84 verlegten Patienten in drei Wellen: Null Fälle von vordefinierten Patientensicherheitsereignissen, Stürzen, Reanimationen, ungeplanten Intensivaufnahmen innerhalb 24 h oder dokumentierter multiresistenter Erregerübertragung. Höchste Risikodomänen waren Kommunikation, Dokumentation, operative Koordination, Personalausstattung und klinisches Monitoring.</w:t>
      </w:r>
    </w:p>
    <w:p>
      <w:r>
        <w:rPr>
          <w:b/>
          <w:sz w:val="19"/>
        </w:rPr>
        <w:t xml:space="preserve">Übertragbarkeit: </w:t>
      </w:r>
      <w:r>
        <w:rPr>
          <w:sz w:val="19"/>
        </w:rPr>
        <w:t>Israel; FMEA-Methodik zur Risikominderung ist systematisch auf deutsche Krisenszenarios übertragbar.</w:t>
      </w:r>
    </w:p>
    <w:p>
      <w:r>
        <w:rPr>
          <w:color w:val="5A7D3A"/>
          <w:sz w:val="18"/>
        </w:rPr>
        <w:t>https://pubmed.ncbi.nlm.nih.gov/42867093/</w:t>
      </w:r>
    </w:p>
    <w:p>
      <w:pPr>
        <w:pStyle w:val="Heading2"/>
      </w:pPr>
      <w:r>
        <w:t>Unerwünschte Ereignisse in südkoreanischen Kliniken: 11,3 % der Patienten betroffen</w:t>
      </w:r>
    </w:p>
    <w:p>
      <w:r>
        <w:rPr>
          <w:i/>
          <w:color w:val="666666"/>
          <w:sz w:val="18"/>
        </w:rPr>
        <w:t>Cho DB et al.  ·  J Korean Med Sci  ·  12.10.2026  ·  PMID 42865287</w:t>
      </w:r>
    </w:p>
    <w:p>
      <w:r>
        <w:t>Standardisierte dreistufige Aktennachschau bei 5.000 Patienten aus 10 koreanischen Krankenhäusern zur Erhebung von unerwünschten Ereignissen und ihrer Vermeidbarkeit.</w:t>
      </w:r>
    </w:p>
    <w:p>
      <w:r>
        <w:rPr>
          <w:b/>
        </w:rPr>
        <w:t xml:space="preserve">Ergebnis: </w:t>
      </w:r>
      <w:r>
        <w:t>565 Patienten (11,3 %) mit 612 bestätigten unerwünschten Ereignissen identifiziert; davon 28,3 % als vermeidbar klassifiziert. Pflegeleistungsfehler (37,3 %), Medikations-/Infusions-/Blutfehler (36,1 %) und operations-/prozedurbezogene Ereignisse (26,8 %) waren häufigste Typen. 36,3 % führten zu Verlängerung des Krankenhausaufenthalts, 3,6 % endeten tödlich.</w:t>
      </w:r>
    </w:p>
    <w:p>
      <w:r>
        <w:rPr>
          <w:b/>
          <w:sz w:val="19"/>
        </w:rPr>
        <w:t xml:space="preserve">Übertragbarkeit: </w:t>
      </w:r>
      <w:r>
        <w:rPr>
          <w:sz w:val="19"/>
        </w:rPr>
        <w:t>Südkorea mit vergleichbarem Erfassungsystem; Methode und Fallzahlen für Deutschland relevant.</w:t>
      </w:r>
    </w:p>
    <w:p>
      <w:r>
        <w:rPr>
          <w:color w:val="5A7D3A"/>
          <w:sz w:val="18"/>
        </w:rPr>
        <w:t>https://pubmed.ncbi.nlm.nih.gov/42865287/</w:t>
      </w:r>
    </w:p>
    <w:p>
      <w:pPr>
        <w:pStyle w:val="Heading2"/>
      </w:pPr>
      <w:r>
        <w:t>Fehlermeldesystem: Automatische Erinnerungen erhöhen Absendeqote um 74 %</w:t>
      </w:r>
    </w:p>
    <w:p>
      <w:r>
        <w:rPr>
          <w:i/>
          <w:color w:val="666666"/>
          <w:sz w:val="18"/>
        </w:rPr>
        <w:t>Wang SC  ·  Appl Clin Inform  ·  12.10.2026  ·  PMID 42863845</w:t>
      </w:r>
    </w:p>
    <w:p>
      <w:r>
        <w:t>Retrospektive Log-Analyse von 6.835 autgespeicherten Meldeentwürfen in einem Multisite-Fehlermeldesystem in Taiwan, um Abbruchverhalten und Auswirkungen von automatischen Erinnerungen zu untersuchen.</w:t>
      </w:r>
    </w:p>
    <w:p>
      <w:r>
        <w:rPr>
          <w:b/>
        </w:rPr>
        <w:t xml:space="preserve">Ergebnis: </w:t>
      </w:r>
      <w:r>
        <w:t>79,0 % der 6.835 Entwürfe wurden eingereicht, 18,6 % gelöscht, 2,5 % ausstehend. Mittlere Bearbeitungszeit 15 min. 28,7 % der Entwürfe hatten mindestens einen Rückkehr-Zugriff. Von 1.617 reminder-exponierten Entwürfen kehrten 337 (20,8 %) innerhalb 24 h zurück; diese zeigten starke Assoziation mit Einreichung (74,2 % vs. 19,8 %, aOR 11,16).</w:t>
      </w:r>
    </w:p>
    <w:p>
      <w:r>
        <w:rPr>
          <w:b/>
          <w:sz w:val="19"/>
        </w:rPr>
        <w:t xml:space="preserve">Übertragbarkeit: </w:t>
      </w:r>
      <w:r>
        <w:rPr>
          <w:sz w:val="19"/>
        </w:rPr>
        <w:t>Taiwanisches System; Designprinzipien für Meldesysteme sind systemübergreifend anwendbar.</w:t>
      </w:r>
    </w:p>
    <w:p>
      <w:r>
        <w:rPr>
          <w:color w:val="5A7D3A"/>
          <w:sz w:val="18"/>
        </w:rPr>
        <w:t>https://pubmed.ncbi.nlm.nih.gov/42863845/</w:t>
      </w:r>
    </w:p>
    <w:p>
      <w:pPr>
        <w:pStyle w:val="Heading2"/>
      </w:pPr>
      <w:r>
        <w:t>Radiopharmaka: Kollaborationsmängel zwischen Fachkräften gefährden Patientensicherheit</w:t>
      </w:r>
    </w:p>
    <w:p>
      <w:r>
        <w:rPr>
          <w:i/>
          <w:color w:val="666666"/>
          <w:sz w:val="18"/>
        </w:rPr>
        <w:t>Ramos-Membrive R et al.  ·  Phys Med  ·  24.09.2026  ·  PMID 42785035</w:t>
      </w:r>
    </w:p>
    <w:p>
      <w:r>
        <w:t>Landesweite Befragung von 52 Fachleuten aus 40 spanischen radiopharmakologischen Zentren zur Bewertung von Arbeitsabläufen, Aktivitätsprüfung, Qualitätskontrolle und Strahlensch uz sowie interprofessionellen Diskrepanzen.</w:t>
      </w:r>
    </w:p>
    <w:p>
      <w:r>
        <w:rPr>
          <w:b/>
        </w:rPr>
        <w:t xml:space="preserve">Ergebnis: </w:t>
      </w:r>
      <w:r>
        <w:t>78 % der Zentren führen Radiopharmaka-Herstellung in-house durch. Heterogene Praktiken: 75 % überprüfen Aktivität für Gamma-Emitter, 43 % für PET; nur 50 % kalibrieren Dosiskalibriert er; 45 % nutzen Geometriekorrektur; 95 % tägliche Konstanzprüfungen, aber &lt;50 % erweiterte Qualitätskontrolle. Strahlensch utz fragmentiert: &gt;20 % keine Spritzenschilde, 55 % keine Bleischürzen, 12 % keine Klemmen. 25 von 52 Zentren zeigten interprofessionelle Diskrepanzen.</w:t>
      </w:r>
    </w:p>
    <w:p>
      <w:r>
        <w:rPr>
          <w:b/>
          <w:sz w:val="19"/>
        </w:rPr>
        <w:t xml:space="preserve">Übertragbarkeit: </w:t>
      </w:r>
      <w:r>
        <w:rPr>
          <w:sz w:val="19"/>
        </w:rPr>
        <w:t>Spanien mit vergleichbarem EU-Regulierungssystem; Sicherheitslücken in Radiopharmaka-Praxis auf Deutschland übertragbar.</w:t>
      </w:r>
    </w:p>
    <w:p>
      <w:r>
        <w:rPr>
          <w:color w:val="5A7D3A"/>
          <w:sz w:val="18"/>
        </w:rPr>
        <w:t>https://pubmed.ncbi.nlm.nih.gov/42785035/</w:t>
      </w:r>
    </w:p>
    <w:p>
      <w:pPr>
        <w:pStyle w:val="Heading1"/>
      </w:pPr>
      <w:r>
        <w:t>Aufgenommen am 13.10.2026</w:t>
      </w:r>
    </w:p>
    <w:p>
      <w:pPr>
        <w:pStyle w:val="Heading2"/>
      </w:pPr>
      <w:r>
        <w:t>Elternbeteiligung in Kindersicherheitsinterventionen: systematische Übersicht von 111 Studien</w:t>
      </w:r>
    </w:p>
    <w:p>
      <w:r>
        <w:rPr>
          <w:i/>
          <w:color w:val="666666"/>
          <w:sz w:val="18"/>
        </w:rPr>
        <w:t>Purchase T et al.  ·  Health Expect  ·  Okt. 2026  ·  PMID 42861431</w:t>
      </w:r>
    </w:p>
    <w:p>
      <w:r>
        <w:t>Systematische Übersicht von 111 Studien zur Einbeziehung von Eltern in Sicherheitsinterventionen bei Kindern (Medikation, Kommunikation, Diagnose).</w:t>
      </w:r>
    </w:p>
    <w:p>
      <w:r>
        <w:rPr>
          <w:b/>
        </w:rPr>
        <w:t xml:space="preserve">Ergebnis: </w:t>
      </w:r>
      <w:r>
        <w:t>Interventionen adressierten primär direkte Patientenpflege (97,3%) durch Konsultationen (70,3%), erreichten aber bei Elternbeteiligung im Design und in Forschung nur Informationsstufe (59,5%). 65% der Studien in Sekundärversorgung, 39% experimentelles Design, 50% Fokus auf Medikationssicherheit. Elternengagement blieb inkonsistent und oft unverbindlich ohne Messung echter Sicherheitsergebnisse.</w:t>
      </w:r>
    </w:p>
    <w:p>
      <w:r>
        <w:rPr>
          <w:b/>
          <w:sz w:val="19"/>
        </w:rPr>
        <w:t xml:space="preserve">Übertragbarkeit: </w:t>
      </w:r>
      <w:r>
        <w:rPr>
          <w:sz w:val="19"/>
        </w:rPr>
        <w:t>Großbritannien, vergleichbare Gesundheitssysteme im Fokus; Ansätze übertragbar auf Deutschland</w:t>
      </w:r>
    </w:p>
    <w:p>
      <w:r>
        <w:rPr>
          <w:color w:val="5A7D3A"/>
          <w:sz w:val="18"/>
        </w:rPr>
        <w:t>https://pubmed.ncbi.nlm.nih.gov/42861431/</w:t>
      </w:r>
    </w:p>
    <w:p>
      <w:pPr>
        <w:pStyle w:val="Heading2"/>
      </w:pPr>
      <w:r>
        <w:t>Kaiserschnittinfektionen in Afrika: durchschnittlich 10% mit konsistenten Risikofaktoren</w:t>
      </w:r>
    </w:p>
    <w:p>
      <w:r>
        <w:rPr>
          <w:i/>
          <w:color w:val="666666"/>
          <w:sz w:val="18"/>
        </w:rPr>
        <w:t>Addis M et al.  ·  Womens Health (Lond)  ·  11.10.2026  ·  PMID 42859868</w:t>
      </w:r>
    </w:p>
    <w:p>
      <w:r>
        <w:t>Umbrella Review von 7 systematischen Übersichten mit 71 Primärstudien zu Operationswundinfektionen nach Kaiserschnitt in Afrika (n=61.485).</w:t>
      </w:r>
    </w:p>
    <w:p>
      <w:r>
        <w:rPr>
          <w:b/>
        </w:rPr>
        <w:t xml:space="preserve">Ergebnis: </w:t>
      </w:r>
      <w:r>
        <w:t>Pooled Prävalenz durchgehend um 10%. Konsistente Risikofaktoren: Anämie, Chorioamnionitis, verlängerte Geburt, Blasensprung &gt;18h, vertikale Hautinzision, Allgemeinanästhesie. Fünf Reviews hohe Qualität, zwei mittlere; starke Heterogenität und Methodenlimitationen erkannt.</w:t>
      </w:r>
    </w:p>
    <w:p>
      <w:r>
        <w:rPr>
          <w:b/>
          <w:sz w:val="19"/>
        </w:rPr>
        <w:t xml:space="preserve">Übertragbarkeit: </w:t>
      </w:r>
      <w:r>
        <w:rPr>
          <w:sz w:val="19"/>
        </w:rPr>
        <w:t>Subsahara-Afrika, LMIC-Setting; Konzepte übertragbar, Epidemiologie unterschiedlich von Deutschland</w:t>
      </w:r>
    </w:p>
    <w:p>
      <w:r>
        <w:rPr>
          <w:color w:val="5A7D3A"/>
          <w:sz w:val="18"/>
        </w:rPr>
        <w:t>https://pubmed.ncbi.nlm.nih.gov/42859868/</w:t>
      </w:r>
    </w:p>
    <w:p>
      <w:pPr>
        <w:pStyle w:val="Heading2"/>
      </w:pPr>
      <w:r>
        <w:t>COVID-19 verstärkte Antibiotikaübergebrauch trotz niedriger Koinfektion – Stewardship-Lücke</w:t>
      </w:r>
    </w:p>
    <w:p>
      <w:r>
        <w:rPr>
          <w:i/>
          <w:color w:val="666666"/>
          <w:sz w:val="18"/>
        </w:rPr>
        <w:t>Špelić M et al.  ·  Arh Hig Rada Toksikol  ·  01.09.2026  ·  PMID 42859407</w:t>
      </w:r>
    </w:p>
    <w:p>
      <w:r>
        <w:t>Narrative Übersicht des Verhältnisses zwischen COVID-19, Antibiotikaverbrauch und Resistenzentwicklung mit Fokus auf Stewardship-Interventionen.</w:t>
      </w:r>
    </w:p>
    <w:p>
      <w:r>
        <w:rPr>
          <w:b/>
        </w:rPr>
        <w:t xml:space="preserve">Ergebnis: </w:t>
      </w:r>
      <w:r>
        <w:t>Trotz niedriger bestätigter Koinfektion (unter 50%) blieb Antibiotikaverbrauch unangemessen hoch, besonders früh in Pandemie. Multidisziplinäres Antimicrobial Stewardship, schnelle Diagnostik und Impfung identifiziert als komplementäre Strategien zur Reduktion unnötiger Exposition; One-Health-Ansatz unterstrichen.</w:t>
      </w:r>
    </w:p>
    <w:p>
      <w:r>
        <w:rPr>
          <w:b/>
          <w:sz w:val="19"/>
        </w:rPr>
        <w:t xml:space="preserve">Übertragbarkeit: </w:t>
      </w:r>
      <w:r>
        <w:rPr>
          <w:sz w:val="19"/>
        </w:rPr>
        <w:t>Kroatien, europäischer Kontext; Pandemie-Stewardship-Befunde europäisch übertragbar</w:t>
      </w:r>
    </w:p>
    <w:p>
      <w:r>
        <w:rPr>
          <w:color w:val="5A7D3A"/>
          <w:sz w:val="18"/>
        </w:rPr>
        <w:t>https://pubmed.ncbi.nlm.nih.gov/42859407/</w:t>
      </w:r>
    </w:p>
    <w:p>
      <w:pPr>
        <w:pStyle w:val="Heading2"/>
      </w:pPr>
      <w:r>
        <w:t>5-Faktor-Modell für Staphylococcus-aureus-Sepsis-Mortalität: AUC 0,816</w:t>
      </w:r>
    </w:p>
    <w:p>
      <w:r>
        <w:rPr>
          <w:i/>
          <w:color w:val="666666"/>
          <w:sz w:val="18"/>
        </w:rPr>
        <w:t>Yu Z et al.  ·  Medicine (Baltimore)  ·  09.10.2026  ·  PMID 42854039</w:t>
      </w:r>
    </w:p>
    <w:p>
      <w:r>
        <w:t>Retrospektive Kohortenstudie von 2.221 ICU-Patienten mit bestätigter Bacteriämie zur Identifikation von Faktoren für S.-aureus-BSI und Mortalitätsprognose (MIMIC-IV-Daten).</w:t>
      </w:r>
    </w:p>
    <w:p>
      <w:r>
        <w:rPr>
          <w:b/>
        </w:rPr>
        <w:t xml:space="preserve">Ergebnis: </w:t>
      </w:r>
      <w:r>
        <w:t>297 S.-aureus-BSI (13,4%); nach Matching 26,9% versus 24,2% 28-Tages-Mortalität (kein signifikanter Unterschied). Prognostisches Modell mit 5 Faktoren (Alter, RDW-max, WBC-min, aPTT-min, Albumin-max): AUC 0,816 (95%-KI 0,757–0,870), optimism-corrected 0,804 (0,752–0,861); externe Validierung AUC 0,778 (0,591–0,929).</w:t>
      </w:r>
    </w:p>
    <w:p>
      <w:r>
        <w:rPr>
          <w:b/>
          <w:sz w:val="19"/>
        </w:rPr>
        <w:t xml:space="preserve">Übertragbarkeit: </w:t>
      </w:r>
      <w:r>
        <w:rPr>
          <w:sz w:val="19"/>
        </w:rPr>
        <w:t>USA-ICU-Daten; nur Prognose-Befund ohne Interventionsbezug, begrenzt übertragbar</w:t>
      </w:r>
    </w:p>
    <w:p>
      <w:r>
        <w:rPr>
          <w:color w:val="5A7D3A"/>
          <w:sz w:val="18"/>
        </w:rPr>
        <w:t>https://pubmed.ncbi.nlm.nih.gov/42854039/</w:t>
      </w:r>
    </w:p>
    <w:p>
      <w:pPr>
        <w:pStyle w:val="Heading2"/>
      </w:pPr>
      <w:r>
        <w:t>Zahnwurzel-Desinfektionserfolg hängt von Position ab: apikal/medial 69% Restbakterien</w:t>
      </w:r>
    </w:p>
    <w:p>
      <w:r>
        <w:rPr>
          <w:i/>
          <w:color w:val="666666"/>
          <w:sz w:val="18"/>
        </w:rPr>
        <w:t>Böcher S et al.  ·  Clin Oral Investig  ·  26.08.2026  ·  PMID 42645627</w:t>
      </w:r>
    </w:p>
    <w:p>
      <w:r>
        <w:t>Experimentelle Studie mit 30 menschlichen Zähnen (E.-faecalis-Infektion) zur Bewertung von Desinfektionseffektivität nach Position mittels konfokaler Lasermikroskopie mit LIVE/DEAD-Färbung.</w:t>
      </w:r>
    </w:p>
    <w:p>
      <w:r>
        <w:rPr>
          <w:b/>
        </w:rPr>
        <w:t xml:space="preserve">Ergebnis: </w:t>
      </w:r>
      <w:r>
        <w:t>Wurzelkanalposition war signifikanter Faktor für Bakterienkolonisation und Eradikation (p&lt;0,05), nicht Behandlung oder Sklerosierungsgrad. Restbakterien in bewässerter Zone wahrscheinlicher medial/apikal (OR 2,67–2,74) als koronal: 45,5% koronal, 69,0% medial, 69,6% apikal. Weder Behandlung noch Sonic-Aktivierung signifikant.</w:t>
      </w:r>
    </w:p>
    <w:p>
      <w:r>
        <w:rPr>
          <w:b/>
          <w:sz w:val="19"/>
        </w:rPr>
        <w:t xml:space="preserve">Übertragbarkeit: </w:t>
      </w:r>
      <w:r>
        <w:rPr>
          <w:sz w:val="19"/>
        </w:rPr>
        <w:t>Deutschland (RWTH Aachen), vergleichbare Laborbedingungen; Befund jedoch in vitro ohne Patientenrelevanz</w:t>
      </w:r>
    </w:p>
    <w:p>
      <w:r>
        <w:rPr>
          <w:color w:val="5A7D3A"/>
          <w:sz w:val="18"/>
        </w:rPr>
        <w:t>https://pubmed.ncbi.nlm.nih.gov/42645627/</w:t>
      </w:r>
    </w:p>
    <w:p>
      <w:pPr>
        <w:pStyle w:val="Heading2"/>
      </w:pPr>
      <w:r>
        <w:t>Straßenverkehrssicherheit: Systemansatz stärker als Personenfokus, aber lokale Hemmnisse</w:t>
      </w:r>
    </w:p>
    <w:p>
      <w:r>
        <w:rPr>
          <w:i/>
          <w:color w:val="666666"/>
          <w:sz w:val="18"/>
        </w:rPr>
        <w:t>Staton M et al.  ·  Accid Anal Prev  ·  13.08.2026  ·  PMID 42594689</w:t>
      </w:r>
    </w:p>
    <w:p>
      <w:r>
        <w:t>Qualitative Studie mit 21 Interviews zu Entscheidungsfindung und Beziehungen zwischen Akteuren der Straßenverkehrssicherheit auf kommunaler Ebene (UK).</w:t>
      </w:r>
    </w:p>
    <w:p>
      <w:r>
        <w:rPr>
          <w:b/>
        </w:rPr>
        <w:t xml:space="preserve">Ergebnis: </w:t>
      </w:r>
      <w:r>
        <w:t>Dominanter Ansatz weiterhin personenbasiert statt systemisch; Verantwortungsverlagerung auf lokale Ebene könnte dies verstärken. Schlüsselfaktoren: formale Partnerschaften, Cross-Department-Arbeit, finanzielle Hebel. Vision Zero/Safe-System-Ansatz identifiziert als Facilitation für Systemshift; Siloarbeit, Öffentlichkeit, Lobbying als Barrieren.</w:t>
      </w:r>
    </w:p>
    <w:p>
      <w:r>
        <w:rPr>
          <w:b/>
          <w:sz w:val="19"/>
        </w:rPr>
        <w:t xml:space="preserve">Übertragbarkeit: </w:t>
      </w:r>
      <w:r>
        <w:rPr>
          <w:sz w:val="19"/>
        </w:rPr>
        <w:t>Großbritannien, qualitative Governance-Studie; transferierbare Befunde zu Entscheidungsmechanismen</w:t>
      </w:r>
    </w:p>
    <w:p>
      <w:r>
        <w:rPr>
          <w:color w:val="5A7D3A"/>
          <w:sz w:val="18"/>
        </w:rPr>
        <w:t>https://pubmed.ncbi.nlm.nih.gov/42594689/</w:t>
      </w:r>
    </w:p>
    <w:p>
      <w:pPr>
        <w:pStyle w:val="Heading1"/>
      </w:pPr>
      <w:r>
        <w:t>Aufgenommen am 12.10.2026</w:t>
      </w:r>
    </w:p>
    <w:p>
      <w:pPr>
        <w:pStyle w:val="Heading2"/>
      </w:pPr>
      <w:r>
        <w:t>Nanopartikel-Beschichtung senkte Umgebungskeime auf Intensivstationen um 26,5 %</w:t>
      </w:r>
    </w:p>
    <w:p>
      <w:r>
        <w:rPr>
          <w:i/>
          <w:color w:val="666666"/>
          <w:sz w:val="18"/>
        </w:rPr>
        <w:t>Varma S et al.  ·  J Infect Dev Ctries  ·  30.09.2026  ·  PMID 42858349</w:t>
      </w:r>
    </w:p>
    <w:p>
      <w:r>
        <w:t>Studie an zwei Intensivstationen eines Trauma-Zentrums in Indien verglich die Wirkung einer Titandioxid-Nanopartikel-Beschichtung gegen Routinereinigung.</w:t>
      </w:r>
    </w:p>
    <w:p>
      <w:r>
        <w:rPr>
          <w:b/>
        </w:rPr>
        <w:t xml:space="preserve">Ergebnis: </w:t>
      </w:r>
      <w:r>
        <w:t>Auf der beschichteten Station sanken positive Umweltabstriche um 26,5 %, auf der Kontrollstation stiegen sie um 160,9 % (p = 0,000). Ventilator-assoziierte Pneumonie sank um 72,5 %; zentrale Kathetersepsis und Harnwegsinfektionen stiegen. Die Beschichtung könnte Standardmethoden supplementieren, weitere Studien zur Kosteneffektivität sind erforderlich.</w:t>
      </w:r>
    </w:p>
    <w:p>
      <w:r>
        <w:rPr>
          <w:b/>
          <w:sz w:val="19"/>
        </w:rPr>
        <w:t xml:space="preserve">Übertragbarkeit: </w:t>
      </w:r>
      <w:r>
        <w:rPr>
          <w:sz w:val="19"/>
        </w:rPr>
        <w:t>Indien, Trauma-Zentrum; Übertragbarkeit auf Deutschland begrenzt durch Ressourcenlage, aber Konzept einer zusätzlichen Desinfektionsmassnahme prüfenswert.</w:t>
      </w:r>
    </w:p>
    <w:p>
      <w:r>
        <w:rPr>
          <w:color w:val="5A7D3A"/>
          <w:sz w:val="18"/>
        </w:rPr>
        <w:t>https://pubmed.ncbi.nlm.nih.gov/42858349/</w:t>
      </w:r>
    </w:p>
    <w:p>
      <w:pPr>
        <w:pStyle w:val="Heading2"/>
      </w:pPr>
      <w:r>
        <w:t>Händehygiene-Compliance während COVID-19 stieg auf 33,1 %, fiel danach auf 14,7 %</w:t>
      </w:r>
    </w:p>
    <w:p>
      <w:r>
        <w:rPr>
          <w:i/>
          <w:color w:val="666666"/>
          <w:sz w:val="18"/>
        </w:rPr>
        <w:t>Mlouki I et al.  ·  J Infect Dev Ctries  ·  30.09.2026  ·  PMID 42858347</w:t>
      </w:r>
    </w:p>
    <w:p>
      <w:r>
        <w:t>Beobachtungsstudie an einem tunesischen Universitätsklinikum analysierte Trends in der Händehygiene-Compliance von 2020 bis 2023 unter Gesundheitspersonal.</w:t>
      </w:r>
    </w:p>
    <w:p>
      <w:r>
        <w:rPr>
          <w:b/>
        </w:rPr>
        <w:t xml:space="preserve">Ergebnis: </w:t>
      </w:r>
      <w:r>
        <w:t>Von 993 dokumentierten Handhygiene-Gelegenheiten: Gesamtcompliance 22,1 %, mit Gipfel 33,1 % im Jahr 2022 und Rückfall auf 14,7 % im Jahr 2023. Nach Patientenkontakt höher (28,4 % vs. 39 %, p = 0,08). Compliance in Hochrisiko-Abteilungen und bei invasiven Verfahren besser. Kontinuierliche Überwachung und institutionelle Unterstützung notwendig, um Rückfälle zu verhindern.</w:t>
      </w:r>
    </w:p>
    <w:p>
      <w:r>
        <w:rPr>
          <w:b/>
          <w:sz w:val="19"/>
        </w:rPr>
        <w:t xml:space="preserve">Übertragbarkeit: </w:t>
      </w:r>
      <w:r>
        <w:rPr>
          <w:sz w:val="19"/>
        </w:rPr>
        <w:t>Tunesien; ähnliche Herausforderungen bei Nachhaltigkeitsdefizit wie in Mitteleuropa, braucht aber Kontext lokaler Ressourcen.</w:t>
      </w:r>
    </w:p>
    <w:p>
      <w:r>
        <w:rPr>
          <w:color w:val="5A7D3A"/>
          <w:sz w:val="18"/>
        </w:rPr>
        <w:t>https://pubmed.ncbi.nlm.nih.gov/42858347/</w:t>
      </w:r>
    </w:p>
    <w:p>
      <w:pPr>
        <w:pStyle w:val="Heading2"/>
      </w:pPr>
      <w:r>
        <w:t>Breispektrum-Antibiotika verdreifachten sich bei CRE-Blutstrominfektionen während COVID-19</w:t>
      </w:r>
    </w:p>
    <w:p>
      <w:r>
        <w:rPr>
          <w:i/>
          <w:color w:val="666666"/>
          <w:sz w:val="18"/>
        </w:rPr>
        <w:t>Xu L et al.  ·  J Infect Dev Ctries  ·  30.09.2026  ·  PMID 42858345</w:t>
      </w:r>
    </w:p>
    <w:p>
      <w:r>
        <w:t>Retrospektive Kohortenstudie in China untersuchte die Auswirkung der COVID-19-Pandemie auf Häufigkeit carbapenem-resistenter Enterobacteriaceae-Blutstrominfektionen und Antibiotikaverbrauch.</w:t>
      </w:r>
    </w:p>
    <w:p>
      <w:r>
        <w:rPr>
          <w:b/>
        </w:rPr>
        <w:t xml:space="preserve">Ergebnis: </w:t>
      </w:r>
      <w:r>
        <w:t>184 CRE-BSI-Fälle über drei Zeiträume; CRE-BSI-Raten stabil (7,81 bis 9,63 pro 100.000 Hospitalisierungstage). Antibiotikaverbrauch stieg signifikant (p &lt; 0,001), Cephalosporine-Nutzung bei CRE-Patienten um 50 % erhöht. Carbapenem-Resistenzrate 18,6–19,0 % ohne signifikante Unterschiede. Breite Antibiotika-Eskalation war nicht gerechtfertigt und trägt zur Resistenzentwicklung bei.</w:t>
      </w:r>
    </w:p>
    <w:p>
      <w:r>
        <w:rPr>
          <w:b/>
          <w:sz w:val="19"/>
        </w:rPr>
        <w:t xml:space="preserve">Übertragbarkeit: </w:t>
      </w:r>
      <w:r>
        <w:rPr>
          <w:sz w:val="19"/>
        </w:rPr>
        <w:t>China, einzelnes Zentrum; zeigt Stewardship-Versäumnisse, die typisch für Pandemie-Krisen auch in Deutschland auftraten.</w:t>
      </w:r>
    </w:p>
    <w:p>
      <w:r>
        <w:rPr>
          <w:color w:val="5A7D3A"/>
          <w:sz w:val="18"/>
        </w:rPr>
        <w:t>https://pubmed.ncbi.nlm.nih.gov/42858345/</w:t>
      </w:r>
    </w:p>
    <w:p>
      <w:pPr>
        <w:pStyle w:val="Heading2"/>
      </w:pPr>
      <w:r>
        <w:t>Chinesischer Expertenkonsens: Risikomanagement im klinisch-pathologischen Labor – acht Schlüsselfragen beantwortet</w:t>
      </w:r>
    </w:p>
    <w:p>
      <w:r>
        <w:rPr>
          <w:i/>
          <w:color w:val="666666"/>
          <w:sz w:val="18"/>
        </w:rPr>
        <w:t>Quality and Competency Management Group, Professional Committee of Tumor Pathology, China Anti-Cancer Association  ·  Zhonghua Bing Li Xue Za Zhi  ·  08.10.2026  ·  PMID 42851194</w:t>
      </w:r>
    </w:p>
    <w:p>
      <w:r>
        <w:t>Strukturierter Konsens der Chinese Anti-Cancer Association zur systematischen Risikoidenti­fizierung, -bewertung und -kontrolle in klinisch-pathologischen Laboratorien, basierend auf ISO- und CNAS-Standards.</w:t>
      </w:r>
    </w:p>
    <w:p>
      <w:r>
        <w:rPr>
          <w:b/>
        </w:rPr>
        <w:t xml:space="preserve">Ergebnis: </w:t>
      </w:r>
      <w:r>
        <w:t>Der Konsens adressiert acht klinische Fragen; definiert Risiko-Dimensionen: technische Operationen, biologische Sicherheit, Datenmanagement, Qualitätskontrolle. Kernprinzipien: Patientensicherheit und Diagnosequalität als Leitziel, strukturierte Risikopfade (Identifikation, Bewertung, Kontrolle, kontinuierliche Verbesserung). Praktische Managementmassnahmen für Pathologie-Labore etabliert. Ziel: Anhebung des Risiko-Bewusstseins und Optimierung der Ressourcen-Allokation.</w:t>
      </w:r>
    </w:p>
    <w:p>
      <w:r>
        <w:rPr>
          <w:b/>
          <w:sz w:val="19"/>
        </w:rPr>
        <w:t xml:space="preserve">Übertragbarkeit: </w:t>
      </w:r>
      <w:r>
        <w:rPr>
          <w:sz w:val="19"/>
        </w:rPr>
        <w:t>China, aber ISO-Standards und CNAS-Kriterien international gültig; Konsens-Methodik übertragbar auf deutsche Laboratorien nach RiliBÄK.</w:t>
      </w:r>
    </w:p>
    <w:p>
      <w:r>
        <w:rPr>
          <w:color w:val="5A7D3A"/>
          <w:sz w:val="18"/>
        </w:rPr>
        <w:t>https://pubmed.ncbi.nlm.nih.gov/42851194/</w:t>
      </w:r>
    </w:p>
    <w:p>
      <w:pPr>
        <w:pStyle w:val="Heading2"/>
      </w:pPr>
      <w:r>
        <w:t>JAAM-DIC-Score: Sensitivität 81,5 % zur Vorhersage von 28-Tage-Mortalität bei Sepsis-Koagulopathie</w:t>
      </w:r>
    </w:p>
    <w:p>
      <w:r>
        <w:rPr>
          <w:i/>
          <w:color w:val="666666"/>
          <w:sz w:val="18"/>
        </w:rPr>
        <w:t>Hannan M et al.  ·  J Coll Physicians Surg Pak  ·  Okt. 2026  ·  PMID 42851092</w:t>
      </w:r>
    </w:p>
    <w:p>
      <w:r>
        <w:t>Prospektive analytische Studie mit 150 Sepsis-Patienten auf einer Intensivstation in Pakistan evaluierte die Vorhersagekraft des JAAM-DIC-Scores für 28-Tage-Mortalität.</w:t>
      </w:r>
    </w:p>
    <w:p>
      <w:r>
        <w:rPr>
          <w:b/>
        </w:rPr>
        <w:t xml:space="preserve">Ergebnis: </w:t>
      </w:r>
      <w:r>
        <w:t>72 Patienten (48,0 %) mit JAAM-DIC-Score ≥4. 28-Tage-Mortalität 43,3 % (65 Todesfälle). JAAM-DIC: Sensitivität 81,5 %, Spezifität 77,6 %, PPV 73,6 %, NPV 84,6 %, diagnostische Genauigkeit 79,3 %. Score war durchführbar zur Risiko­stratifizierung von hochriskanten septischen Patienten mit DIC.</w:t>
      </w:r>
    </w:p>
    <w:p>
      <w:r>
        <w:rPr>
          <w:b/>
          <w:sz w:val="19"/>
        </w:rPr>
        <w:t xml:space="preserve">Übertragbarkeit: </w:t>
      </w:r>
      <w:r>
        <w:rPr>
          <w:sz w:val="19"/>
        </w:rPr>
        <w:t>Pakistan, Intensivmedizin; Score-Validierung international, deutsches Sepsis-Management würde ähnlich profitieren.</w:t>
      </w:r>
    </w:p>
    <w:p>
      <w:r>
        <w:rPr>
          <w:color w:val="5A7D3A"/>
          <w:sz w:val="18"/>
        </w:rPr>
        <w:t>https://pubmed.ncbi.nlm.nih.gov/42851092/</w:t>
      </w:r>
    </w:p>
    <w:p>
      <w:pPr>
        <w:pStyle w:val="Heading2"/>
      </w:pPr>
      <w:r>
        <w:t>SOFA-Score vorhersagekräftiger als Biomarker für Sepsis-Mortalität auf ländlicher Intensivstation</w:t>
      </w:r>
    </w:p>
    <w:p>
      <w:r>
        <w:rPr>
          <w:i/>
          <w:color w:val="666666"/>
          <w:sz w:val="18"/>
        </w:rPr>
        <w:t>Reddy H et al.  ·  Clin Lab  ·  01.10.2026  ·  PMID 42847956</w:t>
      </w:r>
    </w:p>
    <w:p>
      <w:r>
        <w:t>Querschnittsstudie mit 300 Patienten auf einer ländlichen Intensivstation in Indien verglich kritische Scores und Biomarker zur Prognose von Sepsis-Mortalität und Beatmungsbedarf.</w:t>
      </w:r>
    </w:p>
    <w:p>
      <w:r>
        <w:rPr>
          <w:b/>
        </w:rPr>
        <w:t xml:space="preserve">Ergebnis: </w:t>
      </w:r>
      <w:r>
        <w:t>SOFA mit Cutoff ≥9 beste Vorhersage (OR: 2,98, p &lt; 0,001, Sensitivität 94 %, Spezifität 86 %). APACHE IV (Cutoff &gt;71, AUC 0,840) und NLPR (Cutoff &gt;3,1, AUC 0,716) signifikant. PaO₂/FiO₂ negativ korreliert mit Mortalität (OR 0,022, p &lt; 0,001) und Beatmungsbedarf. 70 Todesfälle in der Kohorte. In ressourcenlimitierten Umgebungen ist NLPR pragmatische Alternative.</w:t>
      </w:r>
    </w:p>
    <w:p>
      <w:r>
        <w:rPr>
          <w:b/>
          <w:sz w:val="19"/>
        </w:rPr>
        <w:t xml:space="preserve">Übertragbarkeit: </w:t>
      </w:r>
      <w:r>
        <w:rPr>
          <w:sz w:val="19"/>
        </w:rPr>
        <w:t>Indien, ländliches Setting; SOFA-Überlegenheit aber auch in deutschen Zentren mit besseren Ressourcen etabliert.</w:t>
      </w:r>
    </w:p>
    <w:p>
      <w:r>
        <w:rPr>
          <w:color w:val="5A7D3A"/>
          <w:sz w:val="18"/>
        </w:rPr>
        <w:t>https://pubmed.ncbi.nlm.nih.gov/42847956/</w:t>
      </w:r>
    </w:p>
    <w:p>
      <w:pPr>
        <w:pStyle w:val="Heading2"/>
      </w:pPr>
      <w:r>
        <w:t>Pichia-kudriavzevii-Ausbruch über sechs Krankenhäuser hinweg, ein Stamm seit 1935 nachweisbar</w:t>
      </w:r>
    </w:p>
    <w:p>
      <w:r>
        <w:rPr>
          <w:i/>
          <w:color w:val="666666"/>
          <w:sz w:val="18"/>
        </w:rPr>
        <w:t>Spruijtenburg B et al.  ·  Med Mycol  ·  05.08.2026  ·  PMID 42560405</w:t>
      </w:r>
    </w:p>
    <w:p>
      <w:r>
        <w:t>Molekularepidemiologische Studie mit Kurzsequenz-Wiederholungs-Genotypisierung von 106 Pichia-kudriavzevii-Isolaten aus Indien zeigte nosokomialen Transmissionsmustern und einen global verbreiteten Stamm.</w:t>
      </w:r>
    </w:p>
    <w:p>
      <w:r>
        <w:rPr>
          <w:b/>
        </w:rPr>
        <w:t xml:space="preserve">Ergebnis: </w:t>
      </w:r>
      <w:r>
        <w:t>52 unterschiedliche Genotypen plus fünf Cluster (zwei bis 22 Isolate). Ein Multizentrums-Cluster umfasste sechs Krankenhäuser; derselbe Stamm identisch mit iranischen Isolaten und verwandt mit niederländischen und sri-lankischen Isolaten (letzte seit 1935). Fluconazol-Resistenz intrinsisch. Befund deuten auf erhöhtes Transmissionspotenzial und Fitness-Vorteil eines Stamms hin.</w:t>
      </w:r>
    </w:p>
    <w:p>
      <w:r>
        <w:rPr>
          <w:b/>
          <w:sz w:val="19"/>
        </w:rPr>
        <w:t xml:space="preserve">Übertragbarkeit: </w:t>
      </w:r>
      <w:r>
        <w:rPr>
          <w:sz w:val="19"/>
        </w:rPr>
        <w:t>Indien; zeigt grenzüberschreitende nosokomiale Transmission, unterstreicht Surveillance-Notwendigkeit auch in Deutschland.</w:t>
      </w:r>
    </w:p>
    <w:p>
      <w:r>
        <w:rPr>
          <w:color w:val="5A7D3A"/>
          <w:sz w:val="18"/>
        </w:rPr>
        <w:t>https://pubmed.ncbi.nlm.nih.gov/42560405/</w:t>
      </w:r>
    </w:p>
    <w:p>
      <w:pPr>
        <w:pStyle w:val="Heading1"/>
      </w:pPr>
      <w:r>
        <w:t>Aufgenommen am 11.10.2026</w:t>
      </w:r>
    </w:p>
    <w:p>
      <w:pPr>
        <w:pStyle w:val="Heading2"/>
      </w:pPr>
      <w:r>
        <w:t>Deprescribing-Leitlinie für ältere Erwachsene reduziert potentiell unangemessene Medikamente</w:t>
      </w:r>
    </w:p>
    <w:p>
      <w:r>
        <w:rPr>
          <w:i/>
          <w:color w:val="666666"/>
          <w:sz w:val="18"/>
        </w:rPr>
        <w:t>Tian F et al.  ·  BMC Geriatr  ·  21.09.2026  ·  PMID 42855669</w:t>
      </w:r>
    </w:p>
    <w:p>
      <w:r>
        <w:t>Chinesische Fachgruppe entwickelte evidenzbasierte Richtlinie für De-Verschreibung potentiell unangemessener Medikamente (PIM) bei älteren Erwachsenen mit standardisiertem ORDER-Prozess (fünf Schritte) und Delphi-Konsens.</w:t>
      </w:r>
    </w:p>
    <w:p>
      <w:r>
        <w:rPr>
          <w:b/>
        </w:rPr>
        <w:t xml:space="preserve">Ergebnis: </w:t>
      </w:r>
      <w:r>
        <w:t>Neue Leitlinie ORDER (organize, medication review, develop plan, execute, realize feedback) als erstes standardisiertes Chinas-Protokoll für PIM-Management. Multidisziplinäres Modell mit Patientenbeteiligung; 15 Aspekte für deprescribing-Empfehlungen entwickelt. Konkrete Machbarkeit und Priorisierung von PIM empfohlen.</w:t>
      </w:r>
    </w:p>
    <w:p>
      <w:r>
        <w:rPr>
          <w:b/>
          <w:sz w:val="19"/>
        </w:rPr>
        <w:t xml:space="preserve">Übertragbarkeit: </w:t>
      </w:r>
      <w:r>
        <w:rPr>
          <w:sz w:val="19"/>
        </w:rPr>
        <w:t>China, aber Medication-Safety-Grundprinzipien international übertragbar, deutsche Geriatrie-Leitlinien ähnlich strukturiert</w:t>
      </w:r>
    </w:p>
    <w:p>
      <w:r>
        <w:rPr>
          <w:color w:val="5A7D3A"/>
          <w:sz w:val="18"/>
        </w:rPr>
        <w:t>https://pubmed.ncbi.nlm.nih.gov/42855669/</w:t>
      </w:r>
    </w:p>
    <w:p>
      <w:pPr>
        <w:pStyle w:val="Heading2"/>
      </w:pPr>
      <w:r>
        <w:t>Ethische Haltung von Notfallteams schwach assoziiert mit Bewusstsein für Kunstfehlerhaftung</w:t>
      </w:r>
    </w:p>
    <w:p>
      <w:r>
        <w:rPr>
          <w:i/>
          <w:color w:val="666666"/>
          <w:sz w:val="18"/>
        </w:rPr>
        <w:t>Degirmenci S et al.  ·  Medicine (Baltimore)  ·  09.10.2026  ·  PMID 42854010</w:t>
      </w:r>
    </w:p>
    <w:p>
      <w:r>
        <w:t>Türkische Querschnittsstudie an 397 Notfall-Fachpersonen entwickelte Skala für ethischen Zugang zu psychiatrischen Patienten in Notfallkontexten und prüfte Assoziation mit Bewusstsein für Kunstfehlerhaftungsrisiko.</w:t>
      </w:r>
    </w:p>
    <w:p>
      <w:r>
        <w:rPr>
          <w:b/>
        </w:rPr>
        <w:t xml:space="preserve">Ergebnis: </w:t>
      </w:r>
      <w:r>
        <w:t>Angepasste 16-Item-Skala für ethischen Zugang validiert. Kunstfehlerhaftungsrisiko-Bewusstsein unterschied sich signifikant nach Geschlecht, Beruf, Einkommen, Schulung und Kunstfehler-Erlebnis. Ethische Zugangsskala zeigte statistisch signifikante, aber schwache Assoziation (1,5% erklärte Varianz) mit Kunstfehler-Bewusstsein.</w:t>
      </w:r>
    </w:p>
    <w:p>
      <w:r>
        <w:rPr>
          <w:b/>
          <w:sz w:val="19"/>
        </w:rPr>
        <w:t xml:space="preserve">Übertragbarkeit: </w:t>
      </w:r>
      <w:r>
        <w:rPr>
          <w:sz w:val="19"/>
        </w:rPr>
        <w:t>Türkei, Notfall-Sicherheitskultur, aber Ethik-Kunstfehler-Nexus international relevant</w:t>
      </w:r>
    </w:p>
    <w:p>
      <w:r>
        <w:rPr>
          <w:color w:val="5A7D3A"/>
          <w:sz w:val="18"/>
        </w:rPr>
        <w:t>https://pubmed.ncbi.nlm.nih.gov/42854010/</w:t>
      </w:r>
    </w:p>
    <w:p>
      <w:pPr>
        <w:pStyle w:val="Heading2"/>
      </w:pPr>
      <w:r>
        <w:t>Laborbasiertes Prognose-Nomogramm stratifiziert Sepsis-Patienten früh nach Mortalitätsrisiko</w:t>
      </w:r>
    </w:p>
    <w:p>
      <w:r>
        <w:rPr>
          <w:i/>
          <w:color w:val="666666"/>
          <w:sz w:val="18"/>
        </w:rPr>
        <w:t>Shu M et al.  ·  Lab Med  ·  05.10.2026  ·  PMID 42853634</w:t>
      </w:r>
    </w:p>
    <w:p>
      <w:r>
        <w:t>Entwicklung und Validierung eines LASSO-basierten Nomogramms zur Früh-Risikostratifikation bei Sepsis mit Laborparametern (SOFA, GCS, Harnstoff, IL-6).</w:t>
      </w:r>
    </w:p>
    <w:p>
      <w:r>
        <w:rPr>
          <w:b/>
        </w:rPr>
        <w:t xml:space="preserve">Ergebnis: </w:t>
      </w:r>
      <w:r>
        <w:t>Concordance-Index 0,806 (Training) und 0,889 (Validierung); Sensitivität/Spezifität 85,0%/68,8% (Training) und 87,9%/86,7% (Validierung). SOFA-Score (OR 1,271), GCS (OR 0,807), Serumurea (OR 1,097), IL-6 (OR 1,001) als unabhängige Prognose-Faktoren. Kalibrierungskurven zeigen gute Übereinstimmung.</w:t>
      </w:r>
    </w:p>
    <w:p>
      <w:r>
        <w:rPr>
          <w:b/>
          <w:sz w:val="19"/>
        </w:rPr>
        <w:t xml:space="preserve">Übertragbarkeit: </w:t>
      </w:r>
      <w:r>
        <w:rPr>
          <w:sz w:val="19"/>
        </w:rPr>
        <w:t>China, aber Sepsis-Biomarker und Prognose-Validierungsprinzipien global anwendbar</w:t>
      </w:r>
    </w:p>
    <w:p>
      <w:r>
        <w:rPr>
          <w:color w:val="5A7D3A"/>
          <w:sz w:val="18"/>
        </w:rPr>
        <w:t>https://pubmed.ncbi.nlm.nih.gov/42853634/</w:t>
      </w:r>
    </w:p>
    <w:p>
      <w:pPr>
        <w:pStyle w:val="Heading2"/>
      </w:pPr>
      <w:r>
        <w:t>Sepsis-Coagulopathie: Trajektorien vorhersagen Mortalität und Heparineffekt</w:t>
      </w:r>
    </w:p>
    <w:p>
      <w:r>
        <w:rPr>
          <w:i/>
          <w:color w:val="666666"/>
          <w:sz w:val="18"/>
        </w:rPr>
        <w:t>Cao Y et al.  ·  Front Cell Infect Microbiol  ·  24.09.2026  ·  PMID 42851353</w:t>
      </w:r>
    </w:p>
    <w:p>
      <w:r>
        <w:t>Multizenterstudie an 20.168 ICU-Patienten mit Sepsis-induzierter Coagulopathie (SIC), die drei Verlaufsmuster identifizierte und deren Assoziation mit 28-Tage-Mortalität sowie Wirksamkeit prophylaktischer Heparingabe evaluierte.</w:t>
      </w:r>
    </w:p>
    <w:p>
      <w:r>
        <w:rPr>
          <w:b/>
        </w:rPr>
        <w:t xml:space="preserve">Ergebnis: </w:t>
      </w:r>
      <w:r>
        <w:t>Drei SIC-Trajektorien: persistierend erhöht (31,9%), ansteigend-dann-fallend (10,6%), resolvent (57,5%). Persistierend erhöhte Trajektorie zeigte adjustierte Subdistribution-Hazard-Ratio 1,65 (95%-KI 1,52–1,78) für Mortalität vs. resolvent. Prophylaktisches Heparin assoziiert mit reduzierter Post-Landmark-Mortalität in MIMIC-IV (sHR 0,908, p=0,018), nicht repliziert in eICU-CRD (p=0,118).</w:t>
      </w:r>
    </w:p>
    <w:p>
      <w:r>
        <w:rPr>
          <w:b/>
          <w:sz w:val="19"/>
        </w:rPr>
        <w:t xml:space="preserve">Übertragbarkeit: </w:t>
      </w:r>
      <w:r>
        <w:rPr>
          <w:sz w:val="19"/>
        </w:rPr>
        <w:t>Multinationale ICU-Daten, sepsis-relevantes Treatment-Outcome, Translatierbarkeit begrenzt durch unterschiedliche Erkrankungsschwere</w:t>
      </w:r>
    </w:p>
    <w:p>
      <w:r>
        <w:rPr>
          <w:color w:val="5A7D3A"/>
          <w:sz w:val="18"/>
        </w:rPr>
        <w:t>https://pubmed.ncbi.nlm.nih.gov/42851353/</w:t>
      </w:r>
    </w:p>
    <w:p>
      <w:pPr>
        <w:pStyle w:val="Heading2"/>
      </w:pPr>
      <w:r>
        <w:t>Persistenter Ausbruch von Carbapenem-resistentem Acinetobacter baumannii trotz Standard-Infektionsprävention</w:t>
      </w:r>
    </w:p>
    <w:p>
      <w:r>
        <w:rPr>
          <w:i/>
          <w:color w:val="666666"/>
          <w:sz w:val="18"/>
        </w:rPr>
        <w:t>Sourenian T et al.  ·  Front Cell Infect Microbiol  ·  24.09.2026  ·  PMID 42851326</w:t>
      </w:r>
    </w:p>
    <w:p>
      <w:r>
        <w:t>Outbreak-Untersuchung von 13 XDR-Acinetobacter-baumannii-Stämmen (ST2) in libanesischer ICU mit molekularer Genotypisierung, die zwei nosokomial übertragene Cluster und Übertragungs-Potenzial nachweisen.</w:t>
      </w:r>
    </w:p>
    <w:p>
      <w:r>
        <w:rPr>
          <w:b/>
        </w:rPr>
        <w:t xml:space="preserve">Ergebnis: </w:t>
      </w:r>
      <w:r>
        <w:t>Alle Isolate blaOXA-23 chromosomal; 52 Genotypen und fünf Cluster identifiziert (vier auf einzelne Kliniken begrenzt, ein Cluster über sechs Kliniken). Größter Cluster mit iranischen, niederländischen und Sri-Lanka-Isolaten verwandt. SNP-Analyse bestätigt hohe Diskriminationsfähigkeit. Fortgesetzte Zirkulation trotz konventioneller Infektionsprävention zeigt erhöhtes Transmissionspotenzial dieser Linie.</w:t>
      </w:r>
    </w:p>
    <w:p>
      <w:r>
        <w:rPr>
          <w:b/>
          <w:sz w:val="19"/>
        </w:rPr>
        <w:t xml:space="preserve">Übertragbarkeit: </w:t>
      </w:r>
      <w:r>
        <w:rPr>
          <w:sz w:val="19"/>
        </w:rPr>
        <w:t>Libanon, aber Carbapenem-Resistenz-Management und ICU-Hygiene-Struktur in Deutschland hochrelevant</w:t>
      </w:r>
    </w:p>
    <w:p>
      <w:r>
        <w:rPr>
          <w:color w:val="5A7D3A"/>
          <w:sz w:val="18"/>
        </w:rPr>
        <w:t>https://pubmed.ncbi.nlm.nih.gov/42851326/</w:t>
      </w:r>
    </w:p>
    <w:p>
      <w:pPr>
        <w:pStyle w:val="Heading2"/>
      </w:pPr>
      <w:r>
        <w:t>Umleitung von Nicht-Notfall-Patienten aus der Notaufnahme in Hausarztpraxen ist sicher</w:t>
      </w:r>
    </w:p>
    <w:p>
      <w:r>
        <w:rPr>
          <w:i/>
          <w:color w:val="666666"/>
          <w:sz w:val="18"/>
        </w:rPr>
        <w:t>Alsulami W et al.  ·  Emerg Med Australas  ·  Okt. 2026  ·  PMID 42851122</w:t>
      </w:r>
    </w:p>
    <w:p>
      <w:r>
        <w:t>Scoping Review von neun Studien zur Sicherheit und Verfahrenskomponenten beim Umleiten von Nicht-Notfall-Patienten von Notaufnahmen in die Primärversorgung.</w:t>
      </w:r>
    </w:p>
    <w:p>
      <w:r>
        <w:rPr>
          <w:b/>
        </w:rPr>
        <w:t xml:space="preserve">Ergebnis: </w:t>
      </w:r>
      <w:r>
        <w:t>9,7% Rückkehrquote, 1,7% Hospitalisierungsrate, 0,07% Mortalität. Studien mit null Hospitalisierungen und Todesfällen implementierten mehrere Komponenten (Dokumentation Beschwerde, Registrierung, Vitalzeichen, Triage). Umleitung erscheint sicher und akzeptabel bei klaren Kriterien, Evidenz aber begrenzt.</w:t>
      </w:r>
    </w:p>
    <w:p>
      <w:r>
        <w:rPr>
          <w:b/>
          <w:sz w:val="19"/>
        </w:rPr>
        <w:t xml:space="preserve">Übertragbarkeit: </w:t>
      </w:r>
      <w:r>
        <w:rPr>
          <w:sz w:val="19"/>
        </w:rPr>
        <w:t>Australien und Vereinigtes Königreich, vergleichbare ED-Versorgungsstruktur und Patientensicherheitsansätze</w:t>
      </w:r>
    </w:p>
    <w:p>
      <w:r>
        <w:rPr>
          <w:color w:val="5A7D3A"/>
          <w:sz w:val="18"/>
        </w:rPr>
        <w:t>https://pubmed.ncbi.nlm.nih.gov/42851122/</w:t>
      </w:r>
    </w:p>
    <w:p>
      <w:pPr>
        <w:pStyle w:val="Heading1"/>
      </w:pPr>
      <w:r>
        <w:t>Aufgenommen am 10.10.2026</w:t>
      </w:r>
    </w:p>
    <w:p>
      <w:pPr>
        <w:pStyle w:val="Heading2"/>
      </w:pPr>
      <w:r>
        <w:t>Digitale Bestellsysteme senken Dokumentationsfehler bei Notfall-zu-ITS-Übergängen um 46 %</w:t>
      </w:r>
    </w:p>
    <w:p>
      <w:r>
        <w:rPr>
          <w:i/>
          <w:color w:val="666666"/>
          <w:sz w:val="18"/>
        </w:rPr>
        <w:t>Chien DK et al.  ·  JMIR Form Res  ·  09.10.2026  ·  PMID 42854259</w:t>
      </w:r>
    </w:p>
    <w:p>
      <w:r>
        <w:t>Retrospektive vergleichende Evaluierung eines aktualisierten digitalen Bestellsystems für Notfall-zu-Intensivmedizin-Aufnahmen (2023 vs. 2024) an einem Tertium-Zentrum in Taiwan.</w:t>
      </w:r>
    </w:p>
    <w:p>
      <w:r>
        <w:rPr>
          <w:b/>
        </w:rPr>
        <w:t xml:space="preserve">Ergebnis: </w:t>
      </w:r>
      <w:r>
        <w:t>Aktualisiertes System assoziiert mit höherer Bestellgültigkeit (54,1 % → 75,4 %; RR 1,39, KI 1,25–1,54, p &lt; 0,001), niedrigerer Fehlerquote (45,9 % → 24,6 %; RR 0,54, KI 0,44–0,66, p &lt; 0,001); doppelte und verlorene Aufträge sanken; ITS-Reservierungsalignment verbessert sich (Verhältnis 0,68 → 0,78, p = 0,03). Strukturierte, zeitstempel-gesteuerte Infrastruktur unterstützt zuverlässigere Hochrisiko-Workflows.</w:t>
      </w:r>
    </w:p>
    <w:p>
      <w:r>
        <w:rPr>
          <w:b/>
          <w:sz w:val="19"/>
        </w:rPr>
        <w:t xml:space="preserve">Übertragbarkeit: </w:t>
      </w:r>
      <w:r>
        <w:rPr>
          <w:sz w:val="19"/>
        </w:rPr>
        <w:t>Taiwan - Elektronische Order-Standardisierung übertragbar auf deutsches Kliniksetting mit vergleichbaren Workflows</w:t>
      </w:r>
    </w:p>
    <w:p>
      <w:r>
        <w:rPr>
          <w:color w:val="5A7D3A"/>
          <w:sz w:val="18"/>
        </w:rPr>
        <w:t>https://pubmed.ncbi.nlm.nih.gov/42854259/</w:t>
      </w:r>
    </w:p>
    <w:p>
      <w:pPr>
        <w:pStyle w:val="Heading2"/>
      </w:pPr>
      <w:r>
        <w:t>Nosokomialer Ausbruch durch kontaminierte Infusionslösungen: 16 Fälle in sieben deutschen Kliniken</w:t>
      </w:r>
    </w:p>
    <w:p>
      <w:r>
        <w:rPr>
          <w:i/>
          <w:color w:val="666666"/>
          <w:sz w:val="18"/>
        </w:rPr>
        <w:t>Burdi S et al.  ·  Euro Surveill  ·  Okt. 2026  ·  PMID 42852523</w:t>
      </w:r>
    </w:p>
    <w:p>
      <w:r>
        <w:t>Untersuchung eines Ausbruchs von Ralstonia mannitolilytica-Bacteriämien in deutschen Krankenhäusern von März bis September 2026, der auf kontaminierte vorgefüllte Kochsalzspritzen zurückgeführt wurde.</w:t>
      </w:r>
    </w:p>
    <w:p>
      <w:r>
        <w:rPr>
          <w:b/>
        </w:rPr>
        <w:t xml:space="preserve">Ergebnis: </w:t>
      </w:r>
      <w:r>
        <w:t>16 Fälle mit ≤6 Allel-Unterschieden in sieben Kliniken identifiziert; Produktions- und Verteilungsfehler eines Herstellers als Quelle bestätigt; Quarantäne und Nutzungsstopp des Produkts eingeleitet. Die Rückverfolgung zeigt, dass solche nosokomialen Ausbrüche auch durch systematische Beschaffungsfehler entstehen.</w:t>
      </w:r>
    </w:p>
    <w:p>
      <w:r>
        <w:rPr>
          <w:b/>
          <w:sz w:val="19"/>
        </w:rPr>
        <w:t xml:space="preserve">Übertragbarkeit: </w:t>
      </w:r>
      <w:r>
        <w:rPr>
          <w:sz w:val="19"/>
        </w:rPr>
        <w:t>Deutsche Klinikdaten, vergleichbare Hygienestandards und Meldepflichten nach IfSG</w:t>
      </w:r>
    </w:p>
    <w:p>
      <w:r>
        <w:rPr>
          <w:color w:val="5A7D3A"/>
          <w:sz w:val="18"/>
        </w:rPr>
        <w:t>https://pubmed.ncbi.nlm.nih.gov/42852523/</w:t>
      </w:r>
    </w:p>
    <w:p>
      <w:pPr>
        <w:pStyle w:val="Heading2"/>
      </w:pPr>
      <w:r>
        <w:t>NHS-Qualitätsstrategie vernachlässigt grundlegende Patientensicherheitsmaßnahmen</w:t>
      </w:r>
    </w:p>
    <w:p>
      <w:r>
        <w:rPr>
          <w:i/>
          <w:color w:val="666666"/>
          <w:sz w:val="18"/>
        </w:rPr>
        <w:t>Tingle J  ·  Br J Nurs  ·  08.10.2026  ·  PMID 42848698</w:t>
      </w:r>
    </w:p>
    <w:p>
      <w:r>
        <w:t>Analyse durch akademischen Rechtsexperten der aktuellen NHS-Qualitätsstrategie bezüglich Patientensicherheitspriorisierung und regulatorischer Überwachung.</w:t>
      </w:r>
    </w:p>
    <w:p>
      <w:r>
        <w:rPr>
          <w:b/>
        </w:rPr>
        <w:t xml:space="preserve">Ergebnis: </w:t>
      </w:r>
      <w:r>
        <w:t>Expertenmeinung identifiziert Lücken in der NHS-Strategie: Grundlegende Sicherheitsmaßnahmen werden übersehen; regulatorische Aufsicht und Dokumentation von Sicherheitsversprechen unzureichend. Kommentar hebt Misalignment zwischen strategischem Anspruch und operativer Realität hervor.</w:t>
      </w:r>
    </w:p>
    <w:p>
      <w:r>
        <w:rPr>
          <w:b/>
          <w:sz w:val="19"/>
        </w:rPr>
        <w:t xml:space="preserve">Übertragbarkeit: </w:t>
      </w:r>
      <w:r>
        <w:rPr>
          <w:sz w:val="19"/>
        </w:rPr>
        <w:t>Großbritannien (NHS) - Melde- und Haftungssystem unterscheidet sich von Deutschland durch andere Governance-Strukturen</w:t>
      </w:r>
    </w:p>
    <w:p>
      <w:r>
        <w:rPr>
          <w:color w:val="5A7D3A"/>
          <w:sz w:val="18"/>
        </w:rPr>
        <w:t>https://pubmed.ncbi.nlm.nih.gov/42848698/</w:t>
      </w:r>
    </w:p>
    <w:p>
      <w:pPr>
        <w:pStyle w:val="Heading2"/>
      </w:pPr>
      <w:r>
        <w:t>Haftungsrisiko und Spezialisierungswahl: Ärzte meiden "High-Risk"-Fachrichtungen</w:t>
      </w:r>
    </w:p>
    <w:p>
      <w:r>
        <w:rPr>
          <w:i/>
          <w:color w:val="666666"/>
          <w:sz w:val="18"/>
        </w:rPr>
        <w:t>Leśniak MW et al.  ·  Psychiatr Pol  ·  30.08.2026  ·  PMID 42848476</w:t>
      </w:r>
    </w:p>
    <w:p>
      <w:r>
        <w:t>Befragung polnischer Medizinstudierender (4.–6. Studienjahr) zur Wahrnehmung von Haftungsrisiken einzelner Fachrichtungen und deren Einfluss auf die Spezialisierungswahl.</w:t>
      </w:r>
    </w:p>
    <w:p>
      <w:r>
        <w:rPr>
          <w:b/>
        </w:rPr>
        <w:t xml:space="preserve">Ergebnis: </w:t>
      </w:r>
      <w:r>
        <w:t>Über 50 % schätzten ihr Wissen über medizinische Fehler und Stressmanagement als unzureichend ein; höhere Studienjahre und Frauen vermeiden chirurgische "High-Risk"-Fachrichtungen signifikant häufiger; ältere Studierende bewerteten ihr Wissen zu Medizinrecht und Stressmanagement besser. Studierenden betonen Bedarf für erweiterte Ausbildung in Fehlermanagement.</w:t>
      </w:r>
    </w:p>
    <w:p>
      <w:r>
        <w:rPr>
          <w:b/>
          <w:sz w:val="19"/>
        </w:rPr>
        <w:t xml:space="preserve">Übertragbarkeit: </w:t>
      </w:r>
      <w:r>
        <w:rPr>
          <w:sz w:val="19"/>
        </w:rPr>
        <w:t>Polen - Haftungssystem ähnlich Deutschland ohne kausale Entschädigung, aber Datenlage begrenzt</w:t>
      </w:r>
    </w:p>
    <w:p>
      <w:r>
        <w:rPr>
          <w:color w:val="5A7D3A"/>
          <w:sz w:val="18"/>
        </w:rPr>
        <w:t>https://pubmed.ncbi.nlm.nih.gov/42848476/</w:t>
      </w:r>
    </w:p>
    <w:p>
      <w:pPr>
        <w:pStyle w:val="Heading2"/>
      </w:pPr>
      <w:r>
        <w:t>Digitale Fragmentierung behindert Antibiotic Stewardship und Infektionserkennung im UK-NHS</w:t>
      </w:r>
    </w:p>
    <w:p>
      <w:r>
        <w:rPr>
          <w:i/>
          <w:color w:val="666666"/>
          <w:sz w:val="18"/>
        </w:rPr>
        <w:t>Schneider V et al.  ·  J Med Internet Res  ·  06.10.2026  ·  PMID 42837652</w:t>
      </w:r>
    </w:p>
    <w:p>
      <w:r>
        <w:t>Rapid Evidence Review zur digitalen Fragmentierung und ihrer Auswirkungen auf Antibiotic Stewardship im englischen Gesundheitssystem.</w:t>
      </w:r>
    </w:p>
    <w:p>
      <w:r>
        <w:rPr>
          <w:b/>
        </w:rPr>
        <w:t xml:space="preserve">Ergebnis: </w:t>
      </w:r>
      <w:r>
        <w:t>14 Studien eingeschlossen; Fragmentierung betrifft große Patientenpopulationen und ist verknüpft mit klinischer Ineffizienz, Qualitäts- und Sicherheitsrisiken (fehlende Krankenakten, doppelte Untersuchungen, Verzögerungen); nur 4 Studien spezifisch zu Antibiotic Stewardship, alle zeigten Workflow-Behinderungen und Kommunikationsstörungen. Nur 1 Studie beschrieb ein digitales Tool zur Abhilfe.</w:t>
      </w:r>
    </w:p>
    <w:p>
      <w:r>
        <w:rPr>
          <w:b/>
          <w:sz w:val="19"/>
        </w:rPr>
        <w:t xml:space="preserve">Übertragbarkeit: </w:t>
      </w:r>
      <w:r>
        <w:rPr>
          <w:sz w:val="19"/>
        </w:rPr>
        <w:t>Großbritannien - analog zu deutschen Fragmentierungsproblemen bei unzureichender Interoperabilität zwischen Sektoren</w:t>
      </w:r>
    </w:p>
    <w:p>
      <w:r>
        <w:rPr>
          <w:color w:val="5A7D3A"/>
          <w:sz w:val="18"/>
        </w:rPr>
        <w:t>https://pubmed.ncbi.nlm.nih.gov/42837652/</w:t>
      </w:r>
    </w:p>
    <w:p>
      <w:pPr>
        <w:pStyle w:val="Heading2"/>
      </w:pPr>
      <w:r>
        <w:t>Strukturiertes Risikomanagement in virtuellen Atemwegsversorgungsteams reduziert Versorgungsfehler</w:t>
      </w:r>
    </w:p>
    <w:p>
      <w:r>
        <w:rPr>
          <w:i/>
          <w:color w:val="666666"/>
          <w:sz w:val="18"/>
        </w:rPr>
        <w:t>Mariaki I et al.  ·  Br J Community Nurs  ·  02.10.2026  ·  PMID 42832408</w:t>
      </w:r>
    </w:p>
    <w:p>
      <w:r>
        <w:t>Entwicklung und Piloterprobung eines strukturierten Risk-Assessment-Rahmens für die Versorgung psychosozial komplexer Patienten in respiratorischen virtuellen Wards des NHS.</w:t>
      </w:r>
    </w:p>
    <w:p>
      <w:r>
        <w:rPr>
          <w:b/>
        </w:rPr>
        <w:t xml:space="preserve">Ergebnis: </w:t>
      </w:r>
      <w:r>
        <w:t>Nach Implementierung verbesserte sich die Konsistenz klinischer Entscheidungsfindung, multidisziplinäre Kommunikation und Dokumentation nachweislich; Mitarbeiterkompetenz stieg; Feasibility-Pilot mit sieben Patienten zeigte Machbarkeit in der Routinepraxis. Formale Evaluation ist geplant.</w:t>
      </w:r>
    </w:p>
    <w:p>
      <w:r>
        <w:rPr>
          <w:b/>
          <w:sz w:val="19"/>
        </w:rPr>
        <w:t xml:space="preserve">Übertragbarkeit: </w:t>
      </w:r>
      <w:r>
        <w:rPr>
          <w:sz w:val="19"/>
        </w:rPr>
        <w:t>NHS-England-Setting mit vergleichbarer Dezentralisierung von Akutversorgung in Gemeindekontext</w:t>
      </w:r>
    </w:p>
    <w:p>
      <w:r>
        <w:rPr>
          <w:color w:val="5A7D3A"/>
          <w:sz w:val="18"/>
        </w:rPr>
        <w:t>https://pubmed.ncbi.nlm.nih.gov/42832408/</w:t>
      </w:r>
    </w:p>
    <w:p>
      <w:pPr>
        <w:pStyle w:val="Heading1"/>
      </w:pPr>
      <w:r>
        <w:t>Aufgenommen am 09.10.2026</w:t>
      </w:r>
    </w:p>
    <w:p>
      <w:pPr>
        <w:pStyle w:val="Heading2"/>
      </w:pPr>
      <w:r>
        <w:t>Co-Design mit Sehbehinderten identifizierte drei Maßnahmen gegen Medikationsfehler in Apotheken</w:t>
      </w:r>
    </w:p>
    <w:p>
      <w:r>
        <w:rPr>
          <w:i/>
          <w:color w:val="666666"/>
          <w:sz w:val="18"/>
        </w:rPr>
        <w:t>Adeyemi I et al.  ·  Health Expect  ·  Okt. 2026  ·  PMID 42847501</w:t>
      </w:r>
    </w:p>
    <w:p>
      <w:r>
        <w:t>Nominale Gruppentechnik mit 7 sehbehinderten Personen und 6 Apothekenfachkräften zur Erkennung und Prävention von Medikationsfehlern in der Gemeinschaftsapotheke.</w:t>
      </w:r>
    </w:p>
    <w:p>
      <w:r>
        <w:rPr>
          <w:b/>
        </w:rPr>
        <w:t xml:space="preserve">Ergebnis: </w:t>
      </w:r>
      <w:r>
        <w:t>Teilnehmer identifizierten 12 Sicherheitsrisiken und 24 Lösungen; priorisiert wurden 3 Interventionen: (1) zugänglicher Patientensicherheitsleitfaden zur Kommunikation, (2) Schulungsvideo für Apotheker zum Verständnis von Sehbehindertenbedarfen, (3) EHR-Alerts/Pop-ups zur Identifikation dieser Patienten. Intervention wurde als praktisch und akzeptabel bewertet.</w:t>
      </w:r>
    </w:p>
    <w:p>
      <w:r>
        <w:rPr>
          <w:b/>
          <w:sz w:val="19"/>
        </w:rPr>
        <w:t xml:space="preserve">Übertragbarkeit: </w:t>
      </w:r>
      <w:r>
        <w:rPr>
          <w:sz w:val="19"/>
        </w:rPr>
        <w:t>UK-Studie, vergleichbar mit deutschem Gemeinschaftsapothekensystem</w:t>
      </w:r>
    </w:p>
    <w:p>
      <w:r>
        <w:rPr>
          <w:color w:val="5A7D3A"/>
          <w:sz w:val="18"/>
        </w:rPr>
        <w:t>https://pubmed.ncbi.nlm.nih.gov/42847501/</w:t>
      </w:r>
    </w:p>
    <w:p>
      <w:pPr>
        <w:pStyle w:val="Heading2"/>
      </w:pPr>
      <w:r>
        <w:t>Whistleblower-System reduzierte Arbeitsunfälle signifikant auf chinesischen Industriebetrieben</w:t>
      </w:r>
    </w:p>
    <w:p>
      <w:r>
        <w:rPr>
          <w:i/>
          <w:color w:val="666666"/>
          <w:sz w:val="18"/>
        </w:rPr>
        <w:t>Liu L et al.  ·  Front Public Health  ·  23.09.2026  ·  PMID 42846635</w:t>
      </w:r>
    </w:p>
    <w:p>
      <w:r>
        <w:t>Longitudinale Panelstudie an 266 börsennotierten Unternehmen mit 3086 Unternehmens-Jahr-Beobachtungen zu Auswirkung von internen Meldungssystemen auf Arbeitssicherheit und zwei zugrunde liegende Mechanismen.</w:t>
      </w:r>
    </w:p>
    <w:p>
      <w:r>
        <w:rPr>
          <w:b/>
        </w:rPr>
        <w:t xml:space="preserve">Ergebnis: </w:t>
      </w:r>
      <w:r>
        <w:t>Betriebe mit Whistleblower-System zeigten signifikante Reduktion von Arbeitsunfällen (Todesfällen und Sterblichkeitsraten). Effekt vermittelt durch zwei Pfade: Ressourcen-Pfad (erhöhte Sicherheitsinvestitionen) und Governance-Pfad (verbesserte interne Kontrolle). Effekt war in Ostchina ausgeprägter. Mediation-Analysen bestätigten beide Mechanismen.</w:t>
      </w:r>
    </w:p>
    <w:p>
      <w:r>
        <w:rPr>
          <w:b/>
          <w:sz w:val="19"/>
        </w:rPr>
        <w:t xml:space="preserve">Übertragbarkeit: </w:t>
      </w:r>
      <w:r>
        <w:rPr>
          <w:sz w:val="19"/>
        </w:rPr>
        <w:t>China, andere Betriebsstruktur; Konzept der internen Sicherheitskultur und Meldesysteme relevant für deutsches Arbeitsschutzsystem</w:t>
      </w:r>
    </w:p>
    <w:p>
      <w:r>
        <w:rPr>
          <w:color w:val="5A7D3A"/>
          <w:sz w:val="18"/>
        </w:rPr>
        <w:t>https://pubmed.ncbi.nlm.nih.gov/42846635/</w:t>
      </w:r>
    </w:p>
    <w:p>
      <w:pPr>
        <w:pStyle w:val="Heading2"/>
      </w:pPr>
      <w:r>
        <w:t>Audit-Feedback zu Patientenschäden senkte unnötige Antibiotika nach Herzimplantat um 84 Prozent</w:t>
      </w:r>
    </w:p>
    <w:p>
      <w:r>
        <w:rPr>
          <w:i/>
          <w:color w:val="666666"/>
          <w:sz w:val="18"/>
        </w:rPr>
        <w:t>Branch-Elliman W et al.  ·  Front Public Health  ·  23.09.2026  ·  PMID 42846419</w:t>
      </w:r>
    </w:p>
    <w:p>
      <w:r>
        <w:t>Quasi-experimentelle Studie an 11 US-VA-Kliniken zur Deimplementierung guideline-discordanter Antibiotikaprophylaxe nach Herzimplantat-Operationen mittels Audit-Feedback, lokaler Champions und Schulung.</w:t>
      </w:r>
    </w:p>
    <w:p>
      <w:r>
        <w:rPr>
          <w:b/>
        </w:rPr>
        <w:t xml:space="preserve">Ergebnis: </w:t>
      </w:r>
      <w:r>
        <w:t>Guideline-Noncompliance sank nach Intervention in Kliniken signifikant (OR 0,16, 95% CI 0,12–0,21), während Kontrollkliniken unverändert blieben. Kein Anstieg nosokomialer Infektionen (OR 0,96, 95% CI 0,48–1,93), Trend zur Reduktion kombinierter Antibiotikaschäden (OR 0,59, p=0,059); in 12-Monats-Nachbeobachtung signifikante Schadensreduktion (aOR 0,57, 95% CI 0,34–0,91, p=0,02). Verbesserungen wurden über 12 Monate aufrechterhalten.</w:t>
      </w:r>
    </w:p>
    <w:p>
      <w:r>
        <w:rPr>
          <w:b/>
          <w:sz w:val="19"/>
        </w:rPr>
        <w:t xml:space="preserve">Übertragbarkeit: </w:t>
      </w:r>
      <w:r>
        <w:rPr>
          <w:sz w:val="19"/>
        </w:rPr>
        <w:t>USA-VA-System mit anderer Finanzierung; Maßnahme (Audit-Feedback mit Benchmarking, Schulung) ist übertragbar</w:t>
      </w:r>
    </w:p>
    <w:p>
      <w:r>
        <w:rPr>
          <w:color w:val="5A7D3A"/>
          <w:sz w:val="18"/>
        </w:rPr>
        <w:t>https://pubmed.ncbi.nlm.nih.gov/42846419/</w:t>
      </w:r>
    </w:p>
    <w:p>
      <w:pPr>
        <w:pStyle w:val="Heading2"/>
      </w:pPr>
      <w:r>
        <w:t>88 Prozent unerwünschter Ereignisse nach ICU-Entlassung treten in ersten 48 Stunden auf</w:t>
      </w:r>
    </w:p>
    <w:p>
      <w:r>
        <w:rPr>
          <w:i/>
          <w:color w:val="666666"/>
          <w:sz w:val="18"/>
        </w:rPr>
        <w:t>Mahran GSK et al.  ·  Nurs Crit Care  ·  Nov. 2026  ·  PMID 42844803</w:t>
      </w:r>
    </w:p>
    <w:p>
      <w:r>
        <w:t>Prospektive Kohortenstudie an 207 Patienten beim Übergang von Intensivstation zur Normalstation an tertiatem Krankenhaus über 20 Monate zur Erfassung unerwünschter Ereignisse, deren Timing und Prädiktoren.</w:t>
      </w:r>
    </w:p>
    <w:p>
      <w:r>
        <w:rPr>
          <w:b/>
        </w:rPr>
        <w:t xml:space="preserve">Ergebnis: </w:t>
      </w:r>
      <w:r>
        <w:t>Unerwünschte Ereignisse bei 52/207 Patienten (25,1%): ICU-Readmission 46 (22,2%), nosokomiale Infektionen 29 (14,0%). 88% traten in den ersten 48 h auf (Tag 1: 56%, Tag 2: 32%). SWIFT-Score beste Vorhersagekraft (AUC 0,856). Fünf Risikofaktoren erklärten 88,5% der Ereignisse: Beatmung (OR 10,11), verlängerte ICU-Liegedauer (OR 6,40), Atemwegdiagnose (OR 4,99), &gt;3 invasive Geräte (OR 4,41), Komorbiditäten (OR 3,64).</w:t>
      </w:r>
    </w:p>
    <w:p>
      <w:r>
        <w:rPr>
          <w:b/>
          <w:sz w:val="19"/>
        </w:rPr>
        <w:t xml:space="preserve">Übertragbarkeit: </w:t>
      </w:r>
      <w:r>
        <w:rPr>
          <w:sz w:val="19"/>
        </w:rPr>
        <w:t>Mehrländer-Studie, generalisierbare Risikofaktoren für deutsches Patientenmonitoring</w:t>
      </w:r>
    </w:p>
    <w:p>
      <w:r>
        <w:rPr>
          <w:color w:val="5A7D3A"/>
          <w:sz w:val="18"/>
        </w:rPr>
        <w:t>https://pubmed.ncbi.nlm.nih.gov/42844803/</w:t>
      </w:r>
    </w:p>
    <w:p>
      <w:pPr>
        <w:pStyle w:val="Heading2"/>
      </w:pPr>
      <w:r>
        <w:t>Blutplättchen-Parameter am 7. Tag prägen Sepsis-Prognose und lenken Therapieintensität</w:t>
      </w:r>
    </w:p>
    <w:p>
      <w:r>
        <w:rPr>
          <w:i/>
          <w:color w:val="666666"/>
          <w:sz w:val="18"/>
        </w:rPr>
        <w:t>Niu J et al.  ·  J Int Med Res  ·  07.10.2026  ·  PMID 42844573</w:t>
      </w:r>
    </w:p>
    <w:p>
      <w:r>
        <w:t>Retrospektive Studie an 48 Sepsispatienten und 34 Infektionspatienten zur prognostischen Aussagekraft serieller Blutplättchen-Parameter (Thrombozytenzahl, Plateletcrit, mittleres Plättchenvolumen, Thrombozyten-Verteilungsbreite) über 7 Tage.</w:t>
      </w:r>
    </w:p>
    <w:p>
      <w:r>
        <w:rPr>
          <w:b/>
        </w:rPr>
        <w:t xml:space="preserve">Ergebnis: </w:t>
      </w:r>
      <w:r>
        <w:t>Thrombozyten und Plateletcrit am Tag 7 zeigten signifikante Unterschiede zwischen Überlebenden und Nicht-Überlebenden (beide p&lt;0,05). Thrombozytenzahl beste diagnostische Aussagekraft für Sepsis: AUC 0,864, Sensitivität 94,12%, Spezifität 73,47%. Negative Korrelation mit SOFA-Score (r=−0,657, p&lt;0,05). Dynamische Überwachung zum Tag 7 kann aggressive Behandlungsstrategien leiten.</w:t>
      </w:r>
    </w:p>
    <w:p>
      <w:r>
        <w:rPr>
          <w:b/>
          <w:sz w:val="19"/>
        </w:rPr>
        <w:t xml:space="preserve">Übertragbarkeit: </w:t>
      </w:r>
      <w:r>
        <w:rPr>
          <w:sz w:val="19"/>
        </w:rPr>
        <w:t>China, generalisierbare Biomarker-Messungen anwendbar auf deutsche Intensivmedizin</w:t>
      </w:r>
    </w:p>
    <w:p>
      <w:r>
        <w:rPr>
          <w:color w:val="5A7D3A"/>
          <w:sz w:val="18"/>
        </w:rPr>
        <w:t>https://pubmed.ncbi.nlm.nih.gov/42844573/</w:t>
      </w:r>
    </w:p>
    <w:p>
      <w:pPr>
        <w:pStyle w:val="Heading2"/>
      </w:pPr>
      <w:r>
        <w:t>Vergrabene K-Drähte in Kindertraumatologie: Infektionsrate 0,16 Prozent bei 634 Patienten</w:t>
      </w:r>
    </w:p>
    <w:p>
      <w:r>
        <w:rPr>
          <w:i/>
          <w:color w:val="666666"/>
          <w:sz w:val="18"/>
        </w:rPr>
        <w:t>Zimmermann A et al.  ·  Eur J Orthop Surg Traumatol  ·  06.10.2026  ·  PMID 42836880</w:t>
      </w:r>
    </w:p>
    <w:p>
      <w:r>
        <w:t>Retrospektive Kohortenstudie deutscher Level-I-Unfallklinik an 634 Kindern mit vergrabenen Kirschner-Drähten zur Frakturversorgung mit Verfolgung bis Drahtentfernung.</w:t>
      </w:r>
    </w:p>
    <w:p>
      <w:r>
        <w:rPr>
          <w:b/>
        </w:rPr>
        <w:t xml:space="preserve">Ergebnis: </w:t>
      </w:r>
      <w:r>
        <w:t>Von 634 Kindern (Mittelalt. 10,2±4,2 Jahre, 96,8% Obergliedmaßen) entwickelten nur 1 (0,16%, 95% CI 0,00–0,88%) oberflächliche Infektion, 0 Tiefeninfektionen/Osteomyelitis. Sekundäre Hautperforation ohne Infektion 8,36%, minimale Wundheilungsstörungen 0,32%. Alle Frakturen heilten radiographisch aus, 0 infektionsbedingte Reoperationen.</w:t>
      </w:r>
    </w:p>
    <w:p>
      <w:r>
        <w:rPr>
          <w:b/>
          <w:sz w:val="19"/>
        </w:rPr>
        <w:t xml:space="preserve">Übertragbarkeit: </w:t>
      </w:r>
      <w:r>
        <w:rPr>
          <w:sz w:val="19"/>
        </w:rPr>
        <w:t>Deutsche Daten (Universitätsklinik Bonn), direkt auf DACH-Praxis übertragbar</w:t>
      </w:r>
    </w:p>
    <w:p>
      <w:r>
        <w:rPr>
          <w:color w:val="5A7D3A"/>
          <w:sz w:val="18"/>
        </w:rPr>
        <w:t>https://pubmed.ncbi.nlm.nih.gov/42836880/</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