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18.09.2026  |  6 Studien  |  safety.m-vf.de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MedDRA-Standardisierung halbierte Sicherheitsmeldelücken in Operationsstudien</w:t>
      </w:r>
    </w:p>
    <w:p>
      <w:r>
        <w:rPr>
          <w:i/>
          <w:color w:val="666666"/>
          <w:sz w:val="18"/>
        </w:rPr>
        <w:t>Camasso NC et al.  ·  BMJ Open  ·  17.09.2026  ·  PMID 42754271</w:t>
      </w:r>
    </w:p>
    <w:p>
      <w:r>
        <w:t>Querschnittsanalyse untersuchte, ob standardisierte Nomenklatur (MedDRA) für Nebenwirkungen die Qualität der Sicherheitsberichterstattung in chirurgischen Randomisierungsstudien verbessert.</w:t>
      </w:r>
    </w:p>
    <w:p>
      <w:r>
        <w:rPr>
          <w:b/>
        </w:rPr>
        <w:t xml:space="preserve">Ergebnis: </w:t>
      </w:r>
      <w:r>
        <w:t>Nur 18,8% der 116 Studien nutzten MedDRA. Mit MedDRA: vollständigere Berichte (p&lt;0,001), Concordance Registry-Publication 60% vs. 82% Diskrepanz, Mortalitätsmeldungen 60% vs. 82% Diskordanz. Industriefinanzierung und US-Beteiligung erhöhten MedDRA-Adoption um Faktor 29 bzw. 4,6.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Universelles Problem Chirurgieforschung, MedDRA auch in deutschsprachigen Kliniken einsetzbar.</w:t>
      </w:r>
    </w:p>
    <w:p>
      <w:r>
        <w:rPr>
          <w:color w:val="5A7D3A"/>
          <w:sz w:val="18"/>
        </w:rPr>
        <w:t>https://pubmed.ncbi.nlm.nih.gov/42754271/</w:t>
      </w:r>
    </w:p>
    <w:p>
      <w:pPr>
        <w:pStyle w:val="Heading2"/>
      </w:pPr>
      <w:r>
        <w:t>Pflegeleiter-Bundle senkte Pneumonierisiko bei septischen Bauchpatienten um 40 Prozent</w:t>
      </w:r>
    </w:p>
    <w:p>
      <w:r>
        <w:rPr>
          <w:i/>
          <w:color w:val="666666"/>
          <w:sz w:val="18"/>
        </w:rPr>
        <w:t>Xu Y et al.  ·  Crit Care  ·  14.09.2026  ·  PMID 42750044</w:t>
      </w:r>
    </w:p>
    <w:p>
      <w:r>
        <w:t>Studie untersuchte, ob ein Pflege-Behandlungsbündel für Atemwegsmanagement die Pneumonierate bei kritisch kranken Patienten mit Abdominalempyem senkt.</w:t>
      </w:r>
    </w:p>
    <w:p>
      <w:r>
        <w:rPr>
          <w:b/>
        </w:rPr>
        <w:t xml:space="preserve">Ergebnis: </w:t>
      </w:r>
      <w:r>
        <w:t>Das Bundle reduzierte Pneumonieinzidenz von 42,2% auf 25,6% (OR 0,39; 95%-KI 0,28–0,54; p&lt;0,001), Krankenhausaufenthalt um 20% und 28-Tage-Mortalität von 22,8% auf 18,3%. Fünf Sensitivitätsanalysen bestätigten Robustheit ohne Heterogenität zwischen Zentren.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strukturierte Bundle-Ansätze auf Intensivstationen sind international etabliert.</w:t>
      </w:r>
    </w:p>
    <w:p>
      <w:r>
        <w:rPr>
          <w:color w:val="5A7D3A"/>
          <w:sz w:val="18"/>
        </w:rPr>
        <w:t>https://pubmed.ncbi.nlm.nih.gov/42750044/</w:t>
      </w:r>
    </w:p>
    <w:p>
      <w:pPr>
        <w:pStyle w:val="Heading2"/>
      </w:pPr>
      <w:r>
        <w:t>Pathogen-PCR-Diagnostik senkte unnötige Antibiotika und verbesserte Sepsis-Überleben</w:t>
      </w:r>
    </w:p>
    <w:p>
      <w:r>
        <w:rPr>
          <w:i/>
          <w:color w:val="666666"/>
          <w:sz w:val="18"/>
        </w:rPr>
        <w:t>Zhang H et al.  ·  Nat Commun  ·  20.08.2026  ·  PMID 42749736</w:t>
      </w:r>
    </w:p>
    <w:p>
      <w:r>
        <w:t>Randomisierte Studie testete, ob digitale PCR-Diagnostik die Antibiotikaanpassung bei Sepsis-Verdacht steuert und Sterblichkeit senkt.</w:t>
      </w:r>
    </w:p>
    <w:p>
      <w:r>
        <w:rPr>
          <w:b/>
        </w:rPr>
        <w:t xml:space="preserve">Ergebnis: </w:t>
      </w:r>
      <w:r>
        <w:t>ddPCR erhöhte korrekte Antibiotikaabdeckung von 6,1% auf 12,91% (p=0,0039), Tagesmelder schneller. Pathogenenlast &gt;3051 Kopien/ml (Tag 0), &gt;404 (Tag 3), &gt;1348 (Tag 7) vorhersagend für 28-Tage-Mortalität. Frühe genauigkeitsbasierte Therapieanpassung verbesserte Überleben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China-Daten, aber Diagnostik-Prinzip auf Sepsis-Erkennung universell übertragbar.</w:t>
      </w:r>
    </w:p>
    <w:p>
      <w:r>
        <w:rPr>
          <w:color w:val="5A7D3A"/>
          <w:sz w:val="18"/>
        </w:rPr>
        <w:t>https://pubmed.ncbi.nlm.nih.gov/42749736/</w:t>
      </w:r>
    </w:p>
    <w:p>
      <w:pPr>
        <w:pStyle w:val="Heading2"/>
      </w:pPr>
      <w:r>
        <w:t>Sicherheitsclutter-Taxonomie identifiziert verschleuerte Prozesse, die Schaden nicht mindern</w:t>
      </w:r>
    </w:p>
    <w:p>
      <w:r>
        <w:rPr>
          <w:i/>
          <w:color w:val="666666"/>
          <w:sz w:val="18"/>
        </w:rPr>
        <w:t>Raheemy Y et al.  ·  J Safety Res  ·  15.06.2026  ·  PMID 42744505</w:t>
      </w:r>
    </w:p>
    <w:p>
      <w:r>
        <w:t>Qualitative Studie mit Expertenfokusgruppen und 11 Jobsite-Ethnografien (Bauwesen) entwickelt eine Diagnose-Klassifikation für Sicherheitsmaßnahmen, die Zeit verschwenden.</w:t>
      </w:r>
    </w:p>
    <w:p>
      <w:r>
        <w:rPr>
          <w:b/>
        </w:rPr>
        <w:t xml:space="preserve">Ergebnis: </w:t>
      </w:r>
      <w:r>
        <w:t>Sicherheitsclutter definiert als Aufwand, der ohne Sicherheitsgewinn Ressourcen bindet: bedingte Clutter (exzessiv, irrelevant, unerreichbar) und reine Clutter (ungültig). 11 Clutter-Typen mit Erkennungszeichen und Fallbeispielen benannt, Triangulation Fokusgruppe-Ethnografie validiert Kategoriengrenzen.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Bauwesen primär, Konzept auf Krankenhausprozesse (Fehlermeldesysteme, Dokumentation) übertragbar.</w:t>
      </w:r>
    </w:p>
    <w:p>
      <w:r>
        <w:rPr>
          <w:color w:val="5A7D3A"/>
          <w:sz w:val="18"/>
        </w:rPr>
        <w:t>https://pubmed.ncbi.nlm.nih.gov/42744505/</w:t>
      </w:r>
    </w:p>
    <w:p>
      <w:pPr>
        <w:pStyle w:val="Heading2"/>
      </w:pPr>
      <w:r>
        <w:t>Digitalisierung steigert Arbeitsschutzegoismus, wenn Mitsprache fehlt – Spanien und Dänemark</w:t>
      </w:r>
    </w:p>
    <w:p>
      <w:r>
        <w:rPr>
          <w:i/>
          <w:color w:val="666666"/>
          <w:sz w:val="18"/>
        </w:rPr>
        <w:t>Foncubierta-Rodríguez MJ  ·  J Safety Res  ·  17.08.2026  ·  PMID 42744499</w:t>
      </w:r>
    </w:p>
    <w:p>
      <w:r>
        <w:t>Querschnittswiederholung (ESENER 2019/2024) testet, ob Digitalisierung universell zum Reaktions- statt Präventivsicherheit führt und wie Mitarbeitermitsprache puffert.</w:t>
      </w:r>
    </w:p>
    <w:p>
      <w:r>
        <w:rPr>
          <w:b/>
        </w:rPr>
        <w:t xml:space="preserve">Ergebnis: </w:t>
      </w:r>
      <w:r>
        <w:t>Digitalisierung triggert überall Organisationsreaktivität; Arbeitermitsprache war 2019 inaktiv (nonsignifikant), 2024 aktiver Schutzfaktor gegen Reaktivität (β=0,547; p&lt;0,001). Traditionelle Industrie 2024 deutlich schlechter in Sicherheitsmanagement als Dienstleistung. Strukturelle Schichtung nach Sektor neu in post-pandemischer Ära.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Spanien/Dänemark-Daten, EU-Risikomanagement-Rahmen, aber Befund zur Digitalisierungs-Reaktivität systemunabhängig.</w:t>
      </w:r>
    </w:p>
    <w:p>
      <w:r>
        <w:rPr>
          <w:color w:val="5A7D3A"/>
          <w:sz w:val="18"/>
        </w:rPr>
        <w:t>https://pubmed.ncbi.nlm.nih.gov/42744499/</w:t>
      </w:r>
    </w:p>
    <w:p>
      <w:pPr>
        <w:pStyle w:val="Heading2"/>
      </w:pPr>
      <w:r>
        <w:t>Multipack-Implantate kürzten OP-Zeit und Verpackungsabfall in Wirbelsäulenchirurgie</w:t>
      </w:r>
    </w:p>
    <w:p>
      <w:r>
        <w:rPr>
          <w:i/>
          <w:color w:val="666666"/>
          <w:sz w:val="18"/>
        </w:rPr>
        <w:t>Bludau F et al.  ·  Medicina (Kaunas)  ·  26.06.2026  ·  PMID 42512785</w:t>
      </w:r>
    </w:p>
    <w:p>
      <w:r>
        <w:t>HTA-Vergleichsstudie mit Messungen während acht Fusionen bewertete Einzelimplantat- gegen Multipack-Versorgung auf Workflow, Materialverbrauch und CO2-Bilanz.</w:t>
      </w:r>
    </w:p>
    <w:p>
      <w:r>
        <w:rPr>
          <w:b/>
        </w:rPr>
        <w:t xml:space="preserve">Ergebnis: </w:t>
      </w:r>
      <w:r>
        <w:t>Multipack senkte Griffzeit um 58% (25,4 s vs. 58,7 s; p=0,004), Steriltransferaufwand um Faktor 4,76, Verpackungsvolumen um Faktor 5,6, CO2-Äquivalent 0,017 kg vs. 0,026 kg. Personalzufriedenheit 73% positiv; Nachteil: möglicher Materialabfall ungenutzter Implantate.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Universitätsklinikum Mannheim, vergleichbare Operationsumgebung und Dokumentationspflichten.</w:t>
      </w:r>
    </w:p>
    <w:p>
      <w:r>
        <w:rPr>
          <w:color w:val="5A7D3A"/>
          <w:sz w:val="18"/>
        </w:rPr>
        <w:t>https://pubmed.ncbi.nlm.nih.gov/42512785/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2026-09-18T06:00:00Z</dcterms:created>
  <dcterms:modified xsi:type="dcterms:W3CDTF">2026-09-18T06:00:00Z</dcterms:modified>
  <cp:category/>
</cp:coreProperties>
</file>