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03.09.2026  |  7 Studien  |  safety.m-vf.de</w:t>
      </w:r>
    </w:p>
    <w:p>
      <w:pPr>
        <w:pStyle w:val="Heading1"/>
      </w:pPr>
      <w:r>
        <w:t>Aufgenommen am 03.09.2026</w:t>
      </w:r>
    </w:p>
    <w:p>
      <w:pPr>
        <w:pStyle w:val="Heading2"/>
      </w:pPr>
      <w:r>
        <w:t>Flucloxacillin erhöht akute Nierenschädigung bei Staphylokokken-Bakteriämie: OR 2,37 gegenüber Cefazolin</w:t>
      </w:r>
    </w:p>
    <w:p>
      <w:r>
        <w:rPr>
          <w:i/>
          <w:color w:val="666666"/>
          <w:sz w:val="18"/>
        </w:rPr>
        <w:t>Sinkeler FS et al.  ·  J Antimicrob Chemother  ·  01.09.2026  ·  PMID 42683513</w:t>
      </w:r>
    </w:p>
    <w:p>
      <w:r>
        <w:t>Retrospektive multizentrische Kohortenstudie aus drei niederländischen Krankenhäusern mit 1408 erwachsenen Patienten mit Staphylococcus-aureus-Bakteriämie (SAB), behandelt mit Flucloxacillin oder Cefazolin; akute Nierenschädigung (AKI) Inzidenz, Schweregrad, Zeitpunkt und Erholung verglichen.</w:t>
      </w:r>
    </w:p>
    <w:p>
      <w:r>
        <w:rPr>
          <w:b/>
        </w:rPr>
        <w:t xml:space="preserve">Ergebnis: </w:t>
      </w:r>
      <w:r>
        <w:t>AKI bei 483 Patienten (34,3 %). Größere AKI-Häufigkeit unter Flucloxacillin (466/1324 [35,2 %] vs. 17/84 [20,2 %]; p=0,004). Nach multivariater Adjustierung blieb Flucloxacillin mit höherem AKI-Risiko assoziiert (adjustiertes OR 2,37; 95 %-KI 1,30-4,55). Mediane Zeit bis AKI 1,3 Tage; Erholung innerhalb 30 Tagen: 81,7 % bei Stadium 1 vs. 50,5 % bei Stadium 3. Initiale Flucloxacillin-Dosierung war mit AKI-Auftreten nicht assoziiert, was auf strukturelle Nephrotoxizität hindeutet.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deutsches Versicherungssystem, direkt anwendbar</w:t>
      </w:r>
    </w:p>
    <w:p>
      <w:r>
        <w:rPr>
          <w:color w:val="5A7D3A"/>
          <w:sz w:val="18"/>
        </w:rPr>
        <w:t>https://pubmed.ncbi.nlm.nih.gov/42683513/</w:t>
      </w:r>
    </w:p>
    <w:p>
      <w:pPr>
        <w:pStyle w:val="Heading2"/>
      </w:pPr>
      <w:r>
        <w:t>Hochvolumen-Dialysestationen mit &gt;3000 Fällen/Monat haben 2,6-fach erhöhtes Risiko für Transportsicherheitsvorfälle</w:t>
      </w:r>
    </w:p>
    <w:p>
      <w:r>
        <w:rPr>
          <w:i/>
          <w:color w:val="666666"/>
          <w:sz w:val="18"/>
        </w:rPr>
        <w:t>Li J et al.  ·  Front Public Health  ·  18.08.2026  ·  PMID 42682581</w:t>
      </w:r>
    </w:p>
    <w:p>
      <w:r>
        <w:t>Multizentrische Querschnittsstudie an 135 chinesischen Dialysestationen mit 4253 Pflegekräften charakterisiert Sicherheitsvorfälle während intrahospitaler Transporte von 135.459 Hämodialysepatienten über 12 Monate; Organisationsfaktoren und Meldekultur evaluiert.</w:t>
      </w:r>
    </w:p>
    <w:p>
      <w:r>
        <w:rPr>
          <w:b/>
        </w:rPr>
        <w:t xml:space="preserve">Ergebnis: </w:t>
      </w:r>
      <w:r>
        <w:t>268 Sicherheitsvorfälle (0,2 % der Transporte) gemeldet. Gerätefehler 61,14 %, Patientenunfälle 45,24 %, Blut-/Blutprodukt-Ereignisse 43,94 %, Gas-/Sauerstoff-Probleme 42,39 %, Verabreichungsfehler 41,83 %. Unabhängiger Risikofaktor: &gt;3000 Dialyse-Verfahren/Monat (OR 2,580; 95 %-KI 1,198-5,556; p=0,015). Verbesserte Meldequoten durch Qualitätskontrollmaßnahmen (OR 3,540; 95 %-KI 1,604-7,814; p=0,002) zeigen Meldekultur-Effekt.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Dialysevolumen-Risiko ist systemunabhängig, Fehlermeldesystem funktional vergleichbar</w:t>
      </w:r>
    </w:p>
    <w:p>
      <w:r>
        <w:rPr>
          <w:color w:val="5A7D3A"/>
          <w:sz w:val="18"/>
        </w:rPr>
        <w:t>https://pubmed.ncbi.nlm.nih.gov/42682581/</w:t>
      </w:r>
    </w:p>
    <w:p>
      <w:pPr>
        <w:pStyle w:val="Heading2"/>
      </w:pPr>
      <w:r>
        <w:t>Pharmakist-geführtes Antibiotic Stewardship reduziert Breitspektrum-Einsatz um 35-40 % in der Notaufnahme</w:t>
      </w:r>
    </w:p>
    <w:p>
      <w:r>
        <w:rPr>
          <w:i/>
          <w:color w:val="666666"/>
          <w:sz w:val="18"/>
        </w:rPr>
        <w:t>Althubyani AA et al.  ·  J Am Coll Clin Pharm  ·  Sept. 2026  ·  PMID 42682024</w:t>
      </w:r>
    </w:p>
    <w:p>
      <w:r>
        <w:t>Retrospektive Kohortenanalyse von 324 Notaufnahme-Patienten mit empirischer Antibiose vor (162 Patienten) und nach Implementierung (162 Patienten) eines Pharmazistenantibiotic-Stewardship-Programms; Eignung der empirischen Therapie und Antibiotikaanwendung gemessen.</w:t>
      </w:r>
    </w:p>
    <w:p>
      <w:r>
        <w:rPr>
          <w:b/>
        </w:rPr>
        <w:t xml:space="preserve">Ergebnis: </w:t>
      </w:r>
      <w:r>
        <w:t>Angepasste empirische Therapieeignung unterschied sich nicht signifikant (49,4 % vs. 53,7 %; p=0,44). Aber signifikante Reduktion unnötiger Pseudomonasabdeckung (54,9 % vs. 35,2 %; p&lt;0,001), MRSA-Abdeckung (23,5 % vs. 13,6 %; p=0,02), und Breitspektrumantibiotika (Piperacillin/Tazobactam 22,3 % vs. 14,5 %; p=0,02). Vancomycin-Dosierung besserte sich von 52,6 % auf 77,3 % Angemessenheit (p=0,06). Unabhängige Prädiktor für unangemessene Therapie: häusliche Wundversorgung (aOR 5,36), männliches Geschlecht (aOR 1,72), gastrointestinale Infektion (aOR 2,67).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USA-System, aber Antibiotic-Stewardship-Befund ist unabhängig vom Haftungsrecht</w:t>
      </w:r>
    </w:p>
    <w:p>
      <w:r>
        <w:rPr>
          <w:color w:val="5A7D3A"/>
          <w:sz w:val="18"/>
        </w:rPr>
        <w:t>https://pubmed.ncbi.nlm.nih.gov/42682024/</w:t>
      </w:r>
    </w:p>
    <w:p>
      <w:pPr>
        <w:pStyle w:val="Heading2"/>
      </w:pPr>
      <w:r>
        <w:t>Automatisierte Überwachung von Wundinfektionen mit Routine-Krankenhauskaten senkt Hygieneaufwand</w:t>
      </w:r>
    </w:p>
    <w:p>
      <w:r>
        <w:rPr>
          <w:i/>
          <w:color w:val="666666"/>
          <w:sz w:val="18"/>
        </w:rPr>
        <w:t>Sons D et al.  ·  Antimicrob Resist Infect Control  ·  31.08.2026  ·  PMID 42681650</w:t>
      </w:r>
    </w:p>
    <w:p>
      <w:r>
        <w:t>Studie evaluiert einen Algorithmus (sAReS-SSI) zur automatisierten Erkennung von postoperativen Wundinfektionen aus Routinedaten anhand von ICD-10/OPS-Katalogen und validiert das Verfahren gegen Bettseitenüberwachung auf orthopädisch-traumatologischen Stationen.</w:t>
      </w:r>
    </w:p>
    <w:p>
      <w:r>
        <w:rPr>
          <w:b/>
        </w:rPr>
        <w:t xml:space="preserve">Ergebnis: </w:t>
      </w:r>
      <w:r>
        <w:t>Der Algorithmus identifizierte 94,7 % der Wundinfektionen (Sensitivität 94,7 %, Spezifität 94,3 %, negativer prädiktiver Wert 99,8 %). Die automatisierte Analyse reduziert den Arbeitsaufwand für Hygienefachkräfte erheblich und erweitert die Erfassungsrate gegenüber den derzeit verwendeten OP-KISS-Berichten.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Routinedaten nach Infektionsschutzgesetz und Hygienerichtlinien, direkt übertragbar</w:t>
      </w:r>
    </w:p>
    <w:p>
      <w:r>
        <w:rPr>
          <w:color w:val="5A7D3A"/>
          <w:sz w:val="18"/>
        </w:rPr>
        <w:t>https://pubmed.ncbi.nlm.nih.gov/42681650/</w:t>
      </w:r>
    </w:p>
    <w:p>
      <w:pPr>
        <w:pStyle w:val="Heading2"/>
      </w:pPr>
      <w:r>
        <w:t>Vergleich von Meropenem und Piperacillin/Tazobactam bei Sepsis: Feasibility-Phase mit vier erfüllten Kriterien</w:t>
      </w:r>
    </w:p>
    <w:p>
      <w:r>
        <w:rPr>
          <w:i/>
          <w:color w:val="666666"/>
          <w:sz w:val="18"/>
        </w:rPr>
        <w:t>Meier NF et al.  ·  Acta Anaesthesiol Scand  ·  Okt. 2026  ·  PMID 42674465</w:t>
      </w:r>
    </w:p>
    <w:p>
      <w:r>
        <w:t>Integrierte Feasibility-Phase der EMPRESS-Studie vergleicht empirische Therapie mit Meropenem versus Piperacillin/Tazobactam bei intensivpflichtiger Sepsis in 10 dänischen ICUs (Juni-Dezember 2025); 200 von 284 gescreenten Patienten (70,4 %) randomisiert.</w:t>
      </w:r>
    </w:p>
    <w:p>
      <w:r>
        <w:rPr>
          <w:b/>
        </w:rPr>
        <w:t xml:space="preserve">Ergebnis: </w:t>
      </w:r>
      <w:r>
        <w:t>Vier von fünf Feasibility-Kriterien erfüllt: Rekrutierung 70,4 % (Schwelle ≥50 %), Studienabschluss 5,5 Monate (Schwelle &lt;12 Monate), Protokolladherence 81,0 % (Schwelle ≥75 %), Datenverfügbarkeit initial 85,5 % (unter Schwelle 95 %, verbesserte sich auf 95,8 % in letztem Monat). 30-Tages-Mortalität 30,5 %, schwere unerwünschte Reaktionen 4,0 %. Studie wird ohne Änderungen fortgesetzt.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vergleichbare Intensivmedizin, Entschädigungssystem ohne Verschuldensnachweis</w:t>
      </w:r>
    </w:p>
    <w:p>
      <w:r>
        <w:rPr>
          <w:color w:val="5A7D3A"/>
          <w:sz w:val="18"/>
        </w:rPr>
        <w:t>https://pubmed.ncbi.nlm.nih.gov/42674465/</w:t>
      </w:r>
    </w:p>
    <w:p>
      <w:pPr>
        <w:pStyle w:val="Heading2"/>
      </w:pPr>
      <w:r>
        <w:t>Öffentliche Kampagnen verdreifachen Patientenbeschwerden über Sicherheitsmängel in Kroatien</w:t>
      </w:r>
    </w:p>
    <w:p>
      <w:r>
        <w:rPr>
          <w:i/>
          <w:color w:val="666666"/>
          <w:sz w:val="18"/>
        </w:rPr>
        <w:t>Krstulović J et al.  ·  Croat Med J  ·  31.08.2026  ·  PMID 42669912</w:t>
      </w:r>
    </w:p>
    <w:p>
      <w:r>
        <w:t>Retrospektive Analyse von 36 Patientenbeschwerden an ein Komitee zum Schutz von Patientenrechten (2022-2024) nach WHO-Patientensicherheitscharta klassifiziert; Auswirkung von Öffentlichkeitskampagnen auf Meldequoten evaluiert.</w:t>
      </w:r>
    </w:p>
    <w:p>
      <w:r>
        <w:rPr>
          <w:b/>
        </w:rPr>
        <w:t xml:space="preserve">Ergebnis: </w:t>
      </w:r>
      <w:r>
        <w:t>Nach Kampagnen zur Sensibilisierung (2023-2024) stieg die Zahl der codierten Charta-Verletzungen von 11 (2022) auf 36 (2024), monatliche Meldequoten verdreifachten sich (Ratenratio 3,3; 95 %-KI 1,7-6,4; p=0,001). Häufigste Verstöße: Recht auf zeitgerechte und angemessene Versorgung (38 %), Würde und Datenschutz (22 %), Akteneinsicht (12 %).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Croatie, Transparenz und Patientenbeteiligung sind Länder-übergreifend relevant</w:t>
      </w:r>
    </w:p>
    <w:p>
      <w:r>
        <w:rPr>
          <w:color w:val="5A7D3A"/>
          <w:sz w:val="18"/>
        </w:rPr>
        <w:t>https://pubmed.ncbi.nlm.nih.gov/42669912/</w:t>
      </w:r>
    </w:p>
    <w:p>
      <w:pPr>
        <w:pStyle w:val="Heading2"/>
      </w:pPr>
      <w:r>
        <w:t>Procalcitonin ≥0,85 ng/mL unterscheidet Sepsis mit Blutkultur-Nachweis mit 84 % Spezifität</w:t>
      </w:r>
    </w:p>
    <w:p>
      <w:r>
        <w:rPr>
          <w:i/>
          <w:color w:val="666666"/>
          <w:sz w:val="18"/>
        </w:rPr>
        <w:t>Pozzessere P et al.  ·  Medicina (Kaunas)  ·  20.07.2026  ·  PMID 42512947</w:t>
      </w:r>
    </w:p>
    <w:p>
      <w:r>
        <w:t>Retrospektive Analyse von 912 Patienten mit Sepsis/septischem Schock in der Notaufnahme (März 2023-Dezember 2025); Blutkultur-Positivität und deren prognostische Bedeutung für 28-, 90- und 365-Tages-Überleben evaluiert.</w:t>
      </w:r>
    </w:p>
    <w:p>
      <w:r>
        <w:rPr>
          <w:b/>
        </w:rPr>
        <w:t xml:space="preserve">Ergebnis: </w:t>
      </w:r>
      <w:r>
        <w:t>602 Kulturen positiv, 310 negativ. Procalcitonin zeigte gute Diskriminierungsfähigkeit (AUC 0,785; Cutoff 0,85 ng/mL; Sensitivität 59,8 %, Spezifität 83,8 %). Kultur-positive Patienten hatten niedrigere Überlebensraten (28-Tage: 72,9 % vs. 85,9 %; 365-Tage: 44,3 % vs. 61,2 %), aber nach adjustierter Cox-Regression war Kultur-Positivität kein unabhängiger Prädiktor (HR 1,46; p=0,092); Alter und SOFA-Score blieben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Notfallmedizin mit Blutkulturstandard, europäisches System</w:t>
      </w:r>
    </w:p>
    <w:p>
      <w:r>
        <w:rPr>
          <w:color w:val="5A7D3A"/>
          <w:sz w:val="18"/>
        </w:rPr>
        <w:t>https://pubmed.ncbi.nlm.nih.gov/42512947/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2026-09-03T06:00:00Z</dcterms:created>
  <dcterms:modified xsi:type="dcterms:W3CDTF">2026-09-03T06:00:00Z</dcterms:modified>
  <cp:category/>
</cp:coreProperties>
</file>