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Patientensicherheit</w:t>
      </w:r>
    </w:p>
    <w:p>
      <w:r>
        <w:rPr>
          <w:i/>
          <w:color w:val="666666"/>
          <w:sz w:val="18"/>
        </w:rPr>
        <w:t>Stand: 23.09.2026  |  6 Studien  |  safety.m-vf.de</w:t>
      </w:r>
    </w:p>
    <w:p>
      <w:pPr>
        <w:pStyle w:val="Heading1"/>
      </w:pPr>
      <w:r>
        <w:t>Aufgenommen am 23.09.2026</w:t>
      </w:r>
    </w:p>
    <w:p>
      <w:pPr>
        <w:pStyle w:val="Heading2"/>
      </w:pPr>
      <w:r>
        <w:t>Antibiotic Stewardship: Unterschiede zwischen Hausärzten, Zahnärzten und Infektiologen in Belgien</w:t>
      </w:r>
    </w:p>
    <w:p>
      <w:r>
        <w:rPr>
          <w:i/>
          <w:color w:val="666666"/>
          <w:sz w:val="18"/>
        </w:rPr>
        <w:t>Mann C et al.  ·  Fam Pract  ·  31.07.2026  ·  PMID 42770645</w:t>
      </w:r>
    </w:p>
    <w:p>
      <w:r>
        <w:t>Querschnittsbefragung von 260 belgischen Akteuren (104 Hausärzte, 103 Zahnärzte, 53 Infektiologen) zu Wahrnehmungen und Verhalten bei Antibiotikaresistenz und unangemessener Verschreibung.</w:t>
      </w:r>
    </w:p>
    <w:p>
      <w:r>
        <w:rPr>
          <w:b/>
        </w:rPr>
        <w:t xml:space="preserve">Ergebnis: </w:t>
      </w:r>
      <w:r>
        <w:t>Etwa 50% der Fachleute gaben unangemessene Verschreibung zu; Haupttreiber waren Präventionssorgen und Komplikationsfurcht. Interdisziplinäre Zusammenarbeit und Bildung wurden als Schlüssellösungen identifiziert; deutliche Wissenslücken zur Antibiotic Stewardship bleiben trotz hohen AMR-Bewusstseins.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vergleichbares europäisches Versicherungs- und Gesundheitssystem.</w:t>
      </w:r>
    </w:p>
    <w:p>
      <w:r>
        <w:rPr>
          <w:color w:val="5A7D3A"/>
          <w:sz w:val="18"/>
        </w:rPr>
        <w:t>https://pubmed.ncbi.nlm.nih.gov/42770645/</w:t>
      </w:r>
    </w:p>
    <w:p>
      <w:pPr>
        <w:pStyle w:val="Heading2"/>
      </w:pPr>
      <w:r>
        <w:t>Gesichtsmasken bei invasiven Eingriffen verhindern postoperative Infektionen nicht</w:t>
      </w:r>
    </w:p>
    <w:p>
      <w:r>
        <w:rPr>
          <w:i/>
          <w:color w:val="666666"/>
          <w:sz w:val="18"/>
        </w:rPr>
        <w:t>Steen K et al.  ·  Tidsskr Nor Laegeforen  ·  22.09.2026  ·  PMID 42770419</w:t>
      </w:r>
    </w:p>
    <w:p>
      <w:r>
        <w:t>Systematische Übersichtsarbeit zu 9 Studien über Nutzen von Mund-Nasen-Schutz bei invasiven chirurgischen Verfahren zur Vermeidung postoperativer Infektionen.</w:t>
      </w:r>
    </w:p>
    <w:p>
      <w:r>
        <w:rPr>
          <w:b/>
        </w:rPr>
        <w:t xml:space="preserve">Ergebnis: </w:t>
      </w:r>
      <w:r>
        <w:t>Acht von neun Studien, darunter die zwei methodisch hochwertigsten, zeigten keinen signifikanten Unterschied in Infektionsraten mit versus ohne Masken; Unterschiede zwischen Gruppen: 1,2% und 3,5%; eine Studie fand höhere Infektionsrate mit Masken – insgesamt unzureichende hochwertige Evidenz.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Evidenz vom Operationssaal übertragbar auf deutsche Hygienepraxis.</w:t>
      </w:r>
    </w:p>
    <w:p>
      <w:r>
        <w:rPr>
          <w:color w:val="5A7D3A"/>
          <w:sz w:val="18"/>
        </w:rPr>
        <w:t>https://pubmed.ncbi.nlm.nih.gov/42770419/</w:t>
      </w:r>
    </w:p>
    <w:p>
      <w:pPr>
        <w:pStyle w:val="Heading2"/>
      </w:pPr>
      <w:r>
        <w:t>Händehygiene-Monitoring: ethische Lösungen bei klinischer Anwendung</w:t>
      </w:r>
    </w:p>
    <w:p>
      <w:r>
        <w:rPr>
          <w:i/>
          <w:color w:val="666666"/>
          <w:sz w:val="18"/>
        </w:rPr>
        <w:t>Russow F et al.  ·  BMC Med Ethics  ·  22.09.2026  ·  PMID 42768345</w:t>
      </w:r>
    </w:p>
    <w:p>
      <w:r>
        <w:t>Interdisziplinäre Analyse ethischer Konflikte bei automatisiertem Monitoring von Händehygiene im Krankenhaus, mit Fallstudie aus Deutschland (Stralsund).</w:t>
      </w:r>
    </w:p>
    <w:p>
      <w:r>
        <w:rPr>
          <w:b/>
        </w:rPr>
        <w:t xml:space="preserve">Ergebnis: </w:t>
      </w:r>
      <w:r>
        <w:t>Optimierte Implementierungsstrategien minimieren ethische Spannungen zwischen Patientensicherheit und akzeptabler Arbeitsumgebung; partizipative Systementwicklung mit Personal und transparente, nicht-punitive Nutzung kollektiver Daten erhöhen Nutzerakzeptanz und Hygiene-Compliance.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direkte Anwendung auf deutsche Kliniken und Hygiene-Anforderungen.</w:t>
      </w:r>
    </w:p>
    <w:p>
      <w:r>
        <w:rPr>
          <w:color w:val="5A7D3A"/>
          <w:sz w:val="18"/>
        </w:rPr>
        <w:t>https://pubmed.ncbi.nlm.nih.gov/42768345/</w:t>
      </w:r>
    </w:p>
    <w:p>
      <w:pPr>
        <w:pStyle w:val="Heading2"/>
      </w:pPr>
      <w:r>
        <w:t>Ernährungsinflammation kombiniert mit Naples-Score vorhersagt Sepsis-Sterblichkeit besser</w:t>
      </w:r>
    </w:p>
    <w:p>
      <w:r>
        <w:rPr>
          <w:i/>
          <w:color w:val="666666"/>
          <w:sz w:val="18"/>
        </w:rPr>
        <w:t>Ye Y et al.  ·  BMC Infect Dis  ·  03.08.2026  ·  PMID 42768322</w:t>
      </w:r>
    </w:p>
    <w:p>
      <w:r>
        <w:t>Retrospektive Studie mit 149 klinischen Patienten und 200 aus MIMIC-IV-Datenbank zur Vorhersage der 28-Tage-Sterblichkeit bei Sepsis mittels Prognostics Nutrition Index (PNI) und Naples Prognostic Score (NPS).</w:t>
      </w:r>
    </w:p>
    <w:p>
      <w:r>
        <w:rPr>
          <w:b/>
        </w:rPr>
        <w:t xml:space="preserve">Ergebnis: </w:t>
      </w:r>
      <w:r>
        <w:t>Niedriger PNI (&lt;32,1) und hoher NPS waren unabhängige Prädiktoren für 28-Tage-Sterblichkeit; kombiniertes Modell (PNI + NPS) zeigte AUC 0,805 (klinische Kohorte) und 0,806 (MIMIC), mit guter Kalibrierung (Hosmer-Lemeshow p&gt;0,05) – überlegenes Vorhersageverhalten.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und USA, prognostische Marker-Kombination unabhängig von Gesundheitssystem übertragbar.</w:t>
      </w:r>
    </w:p>
    <w:p>
      <w:r>
        <w:rPr>
          <w:color w:val="5A7D3A"/>
          <w:sz w:val="18"/>
        </w:rPr>
        <w:t>https://pubmed.ncbi.nlm.nih.gov/42768322/</w:t>
      </w:r>
    </w:p>
    <w:p>
      <w:pPr>
        <w:pStyle w:val="Heading2"/>
      </w:pPr>
      <w:r>
        <w:t>Tobramycin-resistenter S. aureus in Neonatalintensivstation: Hygiene und Antibiotikaregime beendeten Ausbruch</w:t>
      </w:r>
    </w:p>
    <w:p>
      <w:r>
        <w:rPr>
          <w:i/>
          <w:color w:val="666666"/>
          <w:sz w:val="18"/>
        </w:rPr>
        <w:t>Jogenfors A et al.  ·  BMC Infect Dis  ·  18.09.2026  ·  PMID 42768321</w:t>
      </w:r>
    </w:p>
    <w:p>
      <w:r>
        <w:t>Zehnjähriger Ausbruch mit resistentem Staphylococcus aureus in schwedischer Neugeborenen-Intensivstation; Interventionen waren Hygienemaßnahmen, Milchpasteurisierung und Wechsel des Antibiotikaregimes von Tobramycin zu Amikacin.</w:t>
      </w:r>
    </w:p>
    <w:p>
      <w:r>
        <w:rPr>
          <w:b/>
        </w:rPr>
        <w:t xml:space="preserve">Ergebnis: </w:t>
      </w:r>
      <w:r>
        <w:t>S.-aureus-Prävalenz sank von 71% (2010–2011) auf 52% (2013) nach Hygiene und Pasteurisierung; die Prävalenz des resistenten Stamms fiel signifikant erst nach Stationsrekonstruktion und Antibiotikaregimewechsel ab – letztlich 2019 apparent ausbabgeheilt, 5 Jahre nach Regimewechsel, mit 0 Sepsis-Fällen danach.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vergleichbares Hygiene- und Intensivmedizin-System, praktische Interventionskombination.</w:t>
      </w:r>
    </w:p>
    <w:p>
      <w:r>
        <w:rPr>
          <w:color w:val="5A7D3A"/>
          <w:sz w:val="18"/>
        </w:rPr>
        <w:t>https://pubmed.ncbi.nlm.nih.gov/42768321/</w:t>
      </w:r>
    </w:p>
    <w:p>
      <w:pPr>
        <w:pStyle w:val="Heading2"/>
      </w:pPr>
      <w:r>
        <w:t>Masking-Effekt in spanischer Arzneimittelüberwachung deckt verborgene Sicherheitssignale auf</w:t>
      </w:r>
    </w:p>
    <w:p>
      <w:r>
        <w:rPr>
          <w:i/>
          <w:color w:val="666666"/>
          <w:sz w:val="18"/>
        </w:rPr>
        <w:t>Sols Cueto N et al.  ·  Eur J Clin Pharmacol  ·  21.09.2026  ·  PMID 42766149</w:t>
      </w:r>
    </w:p>
    <w:p>
      <w:r>
        <w:t>Analyse des Masking-Effekts in der spanischen Spontanmeldedatenbank FEDRA, bei dem extreme Arzneimittel-Ereignis-Kombinationen andere Sicherheitssignale überlagern.</w:t>
      </w:r>
    </w:p>
    <w:p>
      <w:r>
        <w:rPr>
          <w:b/>
        </w:rPr>
        <w:t xml:space="preserve">Ergebnis: </w:t>
      </w:r>
      <w:r>
        <w:t>0,4% (1.211/287.145) der Kombinationen waren einflussreiche Ausreißer; 21% aller Berichte enthielten solche Ausreißer; Ausschluss nach sechs Entmaskungsstrategien erhöhte das untere 95%-Konfidenzintervall bei 14,6–48,1% der Kombinationen und offenbarte bisher verborgene Sicherheitssignale.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methodisch auf europäische Überwachungssysteme übertragbar.</w:t>
      </w:r>
    </w:p>
    <w:p>
      <w:r>
        <w:rPr>
          <w:color w:val="5A7D3A"/>
          <w:sz w:val="18"/>
        </w:rPr>
        <w:t>https://pubmed.ncbi.nlm.nih.gov/42766149/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Patientensicherheit</dc:title>
  <dc:subject/>
  <dc:creator>Monitor Versorgungsforschung</dc:creator>
  <cp:keywords/>
  <dc:description>generated by python-docx</dc:description>
  <cp:lastModifiedBy/>
  <cp:revision>1</cp:revision>
  <dcterms:created xsi:type="dcterms:W3CDTF">2026-09-23T06:00:00Z</dcterms:created>
  <dcterms:modified xsi:type="dcterms:W3CDTF">2026-09-23T06:00:00Z</dcterms:modified>
  <cp:category/>
</cp:coreProperties>
</file>