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23.09.2026  |  183 Studien  |  safety.m-vf.de</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Ernährungsinflammation kombiniert mit Naples-Score vorhersagt Sepsis-Sterblichkeit besser</w:t>
      </w:r>
    </w:p>
    <w:p>
      <w:r>
        <w:rPr>
          <w:i/>
          <w:color w:val="666666"/>
          <w:sz w:val="18"/>
        </w:rPr>
        <w:t>Ye Y et al.  ·  BMC Infect Dis  ·  03.08.2026  ·  PMID 42768322</w:t>
      </w:r>
    </w:p>
    <w:p>
      <w:r>
        <w:t>Retrospektive Studie mit 149 klinischen Patienten und 200 aus MIMIC-IV-Datenbank zur Vorhersage der 28-Tage-Sterblichkeit bei Sepsis mittels Prognostics Nutrition Index (PNI) und Naples Prognostic Score (NPS).</w:t>
      </w:r>
    </w:p>
    <w:p>
      <w:r>
        <w:rPr>
          <w:b/>
        </w:rPr>
        <w:t xml:space="preserve">Ergebnis: </w:t>
      </w:r>
      <w:r>
        <w:t>Niedriger PNI (&lt;32,1) und hoher NPS waren unabhängige Prädiktoren für 28-Tage-Sterblichkeit; kombiniertes Modell (PNI + NPS) zeigte AUC 0,805 (klinische Kohorte) und 0,806 (MIMIC), mit guter Kalibrierung (Hosmer-Lemeshow p&gt;0,05) – überlegenes Vorhersageverhalten.</w:t>
      </w:r>
    </w:p>
    <w:p>
      <w:r>
        <w:rPr>
          <w:b/>
          <w:sz w:val="19"/>
        </w:rPr>
        <w:t xml:space="preserve">Übertragbarkeit: </w:t>
      </w:r>
      <w:r>
        <w:rPr>
          <w:sz w:val="19"/>
        </w:rPr>
        <w:t>China und USA, prognostische Marker-Kombination unabhängig von Gesundheitssystem übertragbar.</w:t>
      </w:r>
    </w:p>
    <w:p>
      <w:r>
        <w:rPr>
          <w:color w:val="5A7D3A"/>
          <w:sz w:val="18"/>
        </w:rPr>
        <w:t>https://pubmed.ncbi.nlm.nih.gov/42768322/</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2026-09-23T06:00:00Z</dcterms:created>
  <dcterms:modified xsi:type="dcterms:W3CDTF">2026-09-23T06:00:00Z</dcterms:modified>
  <cp:category/>
</cp:coreProperties>
</file>