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02.10.2026  |  240 Studien  |  safety.m-vf.de</w:t>
      </w:r>
    </w:p>
    <w:p>
      <w:pPr>
        <w:pStyle w:val="Heading1"/>
      </w:pPr>
      <w:r>
        <w:t>Aufgenommen am 02.10.2026</w:t>
      </w:r>
    </w:p>
    <w:p>
      <w:pPr>
        <w:pStyle w:val="Heading2"/>
      </w:pPr>
      <w:r>
        <w:t>Dediziertes Wechsel-Team senkte Dekubitalulzera auf Intensivstationen um 42 Prozent</w:t>
      </w:r>
    </w:p>
    <w:p>
      <w:r>
        <w:rPr>
          <w:i/>
          <w:color w:val="666666"/>
          <w:sz w:val="18"/>
        </w:rPr>
        <w:t>Tapper GM et al.  ·  Dimens Crit Care Nurs  ·  30.09.2026  ·  PMID 42821859</w:t>
      </w:r>
    </w:p>
    <w:p>
      <w:r>
        <w:t>24-Bett-Herzintensivstation führte nichtmedizinisches Team zur regelmäßigen Patientenumlagerung und Mobilisierung ein; untersucht wurde Effekt auf nosokomiale Druckgeschwüre vor und nach Intervention bei unkontrolliert vielen Patientenaufnahmen.</w:t>
      </w:r>
    </w:p>
    <w:p>
      <w:r>
        <w:rPr>
          <w:b/>
        </w:rPr>
        <w:t xml:space="preserve">Ergebnis: </w:t>
      </w:r>
      <w:r>
        <w:t>Dekubitusrate sank um 42% (p=0,043). Nach Adjustment für Tagesbelegung sank das tägliche Risiko von 6,74% auf 4,03% (adjustierte OR 0,581; 95%-KI 0,33-1,02; p=0,059). Pflegekräfte bewerteten Teamzusammenarbeit und Produktivitätssteigerung positiv in Umfragen.</w:t>
      </w:r>
    </w:p>
    <w:p>
      <w:r>
        <w:rPr>
          <w:b/>
          <w:sz w:val="19"/>
        </w:rPr>
        <w:t xml:space="preserve">Übertragbarkeit: </w:t>
      </w:r>
      <w:r>
        <w:rPr>
          <w:sz w:val="19"/>
        </w:rPr>
        <w:t>USA (Cleveland Clinic Abu Dhabi); Organisationsmodell ist systemunabhängig übertragbar</w:t>
      </w:r>
    </w:p>
    <w:p>
      <w:r>
        <w:rPr>
          <w:color w:val="5A7D3A"/>
          <w:sz w:val="18"/>
        </w:rPr>
        <w:t>https://pubmed.ncbi.nlm.nih.gov/42821859/</w:t>
      </w:r>
    </w:p>
    <w:p>
      <w:pPr>
        <w:pStyle w:val="Heading2"/>
      </w:pPr>
      <w:r>
        <w:t>Entzündungs-Ernährungs-Index am dritten postoperativen Tag sagt Wundkomplikationen voraus</w:t>
      </w:r>
    </w:p>
    <w:p>
      <w:r>
        <w:rPr>
          <w:i/>
          <w:color w:val="666666"/>
          <w:sz w:val="18"/>
        </w:rPr>
        <w:t>Gönüllü ME et al.  ·  Langenbecks Arch Surg  ·  01.09.2026  ·  PMID 42821143</w:t>
      </w:r>
    </w:p>
    <w:p>
      <w:r>
        <w:t>Retrospektive Beobachtungsstudie in zwei türkischen Chirurgiefachbereichen mit 86 Patienten (Januar 2020–Dezember 2025) evaluierte einen neuen Wound Inflammation-Nutrition Index (WINA) und dessen Änderung zwischen postoperativem Tag 1 und 3 (ΔWINA) zur Vorhersage von Wundkomplikationen.</w:t>
      </w:r>
    </w:p>
    <w:p>
      <w:r>
        <w:rPr>
          <w:b/>
        </w:rPr>
        <w:t xml:space="preserve">Ergebnis: </w:t>
      </w:r>
      <w:r>
        <w:t>27,9% (n=24) entwickelten Wundkomplikationen. WINA-Werte an POD1/POD3 und ΔWINA waren bei Komplikationen höher (alle p&lt;0,001). ΔWINA pro 100-Unit-Steigerung: adjustierte OR 2,12 (95%-KI 1,44–3,13; p=0,001). ΔWINA erreichte AUC 0,872 (95%-KI 0,789–0,941) mit 83,3% Sensitivität, 80,6% Spezifität.</w:t>
      </w:r>
    </w:p>
    <w:p>
      <w:r>
        <w:rPr>
          <w:b/>
          <w:sz w:val="19"/>
        </w:rPr>
        <w:t xml:space="preserve">Übertragbarkeit: </w:t>
      </w:r>
      <w:r>
        <w:rPr>
          <w:sz w:val="19"/>
        </w:rPr>
        <w:t>Türkei, europäisch angrenzend; Entzündungsmarker sind in Deutschland routinemäßig verfügbar</w:t>
      </w:r>
    </w:p>
    <w:p>
      <w:r>
        <w:rPr>
          <w:color w:val="5A7D3A"/>
          <w:sz w:val="18"/>
        </w:rPr>
        <w:t>https://pubmed.ncbi.nlm.nih.gov/42821143/</w:t>
      </w:r>
    </w:p>
    <w:p>
      <w:pPr>
        <w:pStyle w:val="Heading2"/>
      </w:pPr>
      <w:r>
        <w:t>Carbapenem-Audit veränderte Gram-negative Resistenzmuster, aber mit Ausweicheffekten</w:t>
      </w:r>
    </w:p>
    <w:p>
      <w:r>
        <w:rPr>
          <w:i/>
          <w:color w:val="666666"/>
          <w:sz w:val="18"/>
        </w:rPr>
        <w:t>Keshavarzi F et al.  ·  Arch Microbiol  ·  01.10.2026  ·  PMID 42821075</w:t>
      </w:r>
    </w:p>
    <w:p>
      <w:r>
        <w:t>Malaysisches Uniklinikum untersuchte 6 Jahre (2015-2020), wie ein Post-Prescription-Audit für Carbapeneme die Anfälligkeit von sieben Gram-negativen Erregern verändert; Analyse mittels unterbrochener Zeitreihen und ARIMA-Modellierung.</w:t>
      </w:r>
    </w:p>
    <w:p>
      <w:r>
        <w:rPr>
          <w:b/>
        </w:rPr>
        <w:t xml:space="preserve">Ergebnis: </w:t>
      </w:r>
      <w:r>
        <w:t>Audit war mit erregerspezifischen Trend-Umkehrungen verbunden. Proteus mirabilis-Imipenem-Empfindlichkeit erholte sich (β=9,465; p=0,005). Klebsiella pneumoniae und Pseudomonas aeruginosa zeigten Abwärts-Trend-Umkehrungen trotz steigender Baselines. Ökologische Verschiebungen auf Fluoroquinolone und β-Laktam/β-Laktamase-Inhibitoren traten auf (P. mirabilis Amoxicillin-Clavulanat β=−43,023; p=0,024).</w:t>
      </w:r>
    </w:p>
    <w:p>
      <w:r>
        <w:rPr>
          <w:b/>
          <w:sz w:val="19"/>
        </w:rPr>
        <w:t xml:space="preserve">Übertragbarkeit: </w:t>
      </w:r>
      <w:r>
        <w:rPr>
          <w:sz w:val="19"/>
        </w:rPr>
        <w:t>Malaysia, vergleichbar mit deutschen Stewardship-Audits; zeigt Grenzen und Verschiebungsrisiken</w:t>
      </w:r>
    </w:p>
    <w:p>
      <w:r>
        <w:rPr>
          <w:color w:val="5A7D3A"/>
          <w:sz w:val="18"/>
        </w:rPr>
        <w:t>https://pubmed.ncbi.nlm.nih.gov/42821075/</w:t>
      </w:r>
    </w:p>
    <w:p>
      <w:pPr>
        <w:pStyle w:val="Heading2"/>
      </w:pPr>
      <w:r>
        <w:t>Digitale Automatisierung klinischer Pfade erhöhte Adherence an Protokolle um 63 Prozent</w:t>
      </w:r>
    </w:p>
    <w:p>
      <w:r>
        <w:rPr>
          <w:i/>
          <w:color w:val="666666"/>
          <w:sz w:val="18"/>
        </w:rPr>
        <w:t>Eduardo AA et al.  ·  Einstein (Sao Paulo)  ·  25.09.2026  ·  PMID 42820545</w:t>
      </w:r>
    </w:p>
    <w:p>
      <w:r>
        <w:t>Brasilianisches Universitätskrankenhaus implementierte ein Clinical-Decision-Support-System für Adipositas-Primärversorgung; Vergleich Labortestbestellmuster vor (2023) und nach (2024) Automatisierung bei Hunderten von Besuchen.</w:t>
      </w:r>
    </w:p>
    <w:p>
      <w:r>
        <w:rPr>
          <w:b/>
        </w:rPr>
        <w:t xml:space="preserve">Ergebnis: </w:t>
      </w:r>
      <w:r>
        <w:t>Adherente Tests stiegen um 63% (IRR 1,63; 95%-KI 1,37–1,96; p&lt;0,001). Median adherente Tests pro Besuch: vorher 1,0, nachher 3,0 (p=0,027). Perplexity sank von 70,9 auf 57,6, zeigend konzentriertere Testbestellungen auf Protokollgrundlage. Von den Top-10 Wachstumstests waren 9/10 protokollbasiert.</w:t>
      </w:r>
    </w:p>
    <w:p>
      <w:r>
        <w:rPr>
          <w:b/>
          <w:sz w:val="19"/>
        </w:rPr>
        <w:t xml:space="preserve">Übertragbarkeit: </w:t>
      </w:r>
      <w:r>
        <w:rPr>
          <w:sz w:val="19"/>
        </w:rPr>
        <w:t>Brasilien, Sozialversicherung; digitale Steuerung von Diagnostik ist in Deutschland relevant</w:t>
      </w:r>
    </w:p>
    <w:p>
      <w:r>
        <w:rPr>
          <w:color w:val="5A7D3A"/>
          <w:sz w:val="18"/>
        </w:rPr>
        <w:t>https://pubmed.ncbi.nlm.nih.gov/42820545/</w:t>
      </w:r>
    </w:p>
    <w:p>
      <w:pPr>
        <w:pStyle w:val="Heading2"/>
      </w:pPr>
      <w:r>
        <w:t>Laboroptimierung senkte Sterblichkeit bei Blutstrominfektion um 17 Prozent</w:t>
      </w:r>
    </w:p>
    <w:p>
      <w:r>
        <w:rPr>
          <w:i/>
          <w:color w:val="666666"/>
          <w:sz w:val="18"/>
        </w:rPr>
        <w:t>Shao J et al.  ·  Front Cell Infect Microbiol  ·  16.09.2026  ·  PMID 42819223</w:t>
      </w:r>
    </w:p>
    <w:p>
      <w:r>
        <w:t>Zehn Krankenhäuser in China optimierten ihre Blutkultur-Laborabläufe durch 24/7-Bearbeitung, schnelle MALDI-TOF-Massenspektrometrie und parallele Antibiogramme; untersucht wurden Auswirkungen auf Sterblichkeit, Kosten und Antibiotikagebrauch bei 1826 Patienten mit Sepsis.</w:t>
      </w:r>
    </w:p>
    <w:p>
      <w:r>
        <w:rPr>
          <w:b/>
        </w:rPr>
        <w:t xml:space="preserve">Ergebnis: </w:t>
      </w:r>
      <w:r>
        <w:t>In-Hospital-Mortalität sank von 19,5% auf 13,1% (p=0,002). Zeiten bis zur Erregererkennung wurden um 11-18,5 Stunden verkürzt. Gesamtkrankenhauskosten sanken signifikant (p=0,003), Antibiotikaausgaben nach statistischer Adjustment um p&lt;0,001. Längenaufenthalt und Laborkosten zeigten keine signifikanten Unterschiede.</w:t>
      </w:r>
    </w:p>
    <w:p>
      <w:r>
        <w:rPr>
          <w:b/>
          <w:sz w:val="19"/>
        </w:rPr>
        <w:t xml:space="preserve">Übertragbarkeit: </w:t>
      </w:r>
      <w:r>
        <w:rPr>
          <w:sz w:val="19"/>
        </w:rPr>
        <w:t>China, vergleichbare Laborstruktur; Methode auf deutsches System übertragbar</w:t>
      </w:r>
    </w:p>
    <w:p>
      <w:r>
        <w:rPr>
          <w:color w:val="5A7D3A"/>
          <w:sz w:val="18"/>
        </w:rPr>
        <w:t>https://pubmed.ncbi.nlm.nih.gov/42819223/</w:t>
      </w:r>
    </w:p>
    <w:p>
      <w:pPr>
        <w:pStyle w:val="Heading2"/>
      </w:pPr>
      <w:r>
        <w:t>WHO-Checkliste mit geschulten Teams hob Sicherheitskultur in OP um 12 Prozentpunkte</w:t>
      </w:r>
    </w:p>
    <w:p>
      <w:r>
        <w:rPr>
          <w:i/>
          <w:color w:val="666666"/>
          <w:sz w:val="18"/>
        </w:rPr>
        <w:t>Aouicha W et al.  ·  J Nurs Manag  ·  2026  ·  PMID 42817022</w:t>
      </w:r>
    </w:p>
    <w:p>
      <w:r>
        <w:t>Zwei tunesische Krankenhäuser führten ein Implementierungsbündel mit Surgical Safety Checklist, Teamtraining, Mentoring und Audit durch; 347 Fachkräfte (Ärzte, Anästhesisten, Pflegende) wurden befragt zu Sicherheitswahrnehmung in 12 Operationssälen über 21 Monate.</w:t>
      </w:r>
    </w:p>
    <w:p>
      <w:r>
        <w:rPr>
          <w:b/>
        </w:rPr>
        <w:t xml:space="preserve">Ergebnis: </w:t>
      </w:r>
      <w:r>
        <w:t>Gesamtwahrnehmte Sicherheit stieg von 70,7% auf 82,4% (postintervention) und stabilisierte sich. Vier Dimensionen verbesserten sich signifikant: Organisationales Lernen von 37,7% auf 50,6%, Teamwork innerhalb von 47,6% auf 59,1%, Kommunikationsopenness von 27,2% auf 46,2%, Teamwork übergreifend von 29,2% auf 37,5%.</w:t>
      </w:r>
    </w:p>
    <w:p>
      <w:r>
        <w:rPr>
          <w:b/>
          <w:sz w:val="19"/>
        </w:rPr>
        <w:t xml:space="preserve">Übertragbarkeit: </w:t>
      </w:r>
      <w:r>
        <w:rPr>
          <w:sz w:val="19"/>
        </w:rPr>
        <w:t>Nordafrika, multilingual; Settings mit Ressourcenknappheit wie deutsche Bundesländer</w:t>
      </w:r>
    </w:p>
    <w:p>
      <w:r>
        <w:rPr>
          <w:color w:val="5A7D3A"/>
          <w:sz w:val="18"/>
        </w:rPr>
        <w:t>https://pubmed.ncbi.nlm.nih.gov/42817022/</w:t>
      </w:r>
    </w:p>
    <w:p>
      <w:pPr>
        <w:pStyle w:val="Heading1"/>
      </w:pPr>
      <w:r>
        <w:t>Aufgenommen am 01.10.2026</w:t>
      </w:r>
    </w:p>
    <w:p>
      <w:pPr>
        <w:pStyle w:val="Heading2"/>
      </w:pPr>
      <w:r>
        <w:t>Defensive Medizin bei Geburtshelferinnen und Frauenärztinnen: Arbeitsunzufriedenheit steigert Schutzverhalten stark</w:t>
      </w:r>
    </w:p>
    <w:p>
      <w:r>
        <w:rPr>
          <w:i/>
          <w:color w:val="666666"/>
          <w:sz w:val="18"/>
        </w:rPr>
        <w:t>Cenger CD et al.  ·  JMIR Form Res  ·  30.09.2026  ·  PMID 42814963</w:t>
      </w:r>
    </w:p>
    <w:p>
      <w:r>
        <w:t>Cross-sectional-Studie (n=1069) unter Fachleuten in Geburtsmedizin in Istanbul; multivariable lineare Regressionsmodelle zur Identifikation unabhängig assoziierter Faktoren.</w:t>
      </w:r>
    </w:p>
    <w:p>
      <w:r>
        <w:rPr>
          <w:b/>
        </w:rPr>
        <w:t xml:space="preserve">Ergebnis: </w:t>
      </w:r>
      <w:r>
        <w:t>Mittlerer TDMPAS-Score 48,12 (SD 10,59). Unzufriedenheit mit Arbeitsbedingungen war unabhängig mit höheren defensive-medicine-Scores assoziiert (B=6,62; 95%-KI 4,19–9,05; p&lt;0,001), ebenso frühere Verwaltungsuntersuchungen (B=3,44; 95%-KI 1,37–5,50; p=0,001). Haftungsschulung (B=-2,18; p=0,002) und höhere Berufserfahrung (B=-0,15 pro Jahr; p=0,03) waren protektiv. Modell erklärte 17,6 % der Varianz.</w:t>
      </w:r>
    </w:p>
    <w:p>
      <w:r>
        <w:rPr>
          <w:b/>
          <w:sz w:val="19"/>
        </w:rPr>
        <w:t xml:space="preserve">Übertragbarkeit: </w:t>
      </w:r>
      <w:r>
        <w:rPr>
          <w:sz w:val="19"/>
        </w:rPr>
        <w:t>Türkei, Haftungsklima analog zu DACH, Defensive Medicine ähnlich häufig</w:t>
      </w:r>
    </w:p>
    <w:p>
      <w:r>
        <w:rPr>
          <w:color w:val="5A7D3A"/>
          <w:sz w:val="18"/>
        </w:rPr>
        <w:t>https://pubmed.ncbi.nlm.nih.gov/42814963/</w:t>
      </w:r>
    </w:p>
    <w:p>
      <w:pPr>
        <w:pStyle w:val="Heading2"/>
      </w:pPr>
      <w:r>
        <w:t>Druckgeschwüre als Zwischenfälle: 24 % aller gemeldeten unerwünschten Ereignisse in Spezialkrankenhaus</w:t>
      </w:r>
    </w:p>
    <w:p>
      <w:r>
        <w:rPr>
          <w:i/>
          <w:color w:val="666666"/>
          <w:sz w:val="18"/>
        </w:rPr>
        <w:t>Sowińska IM et al.  ·  PLoS One  ·  30.09.2026  ·  PMID 42814750</w:t>
      </w:r>
    </w:p>
    <w:p>
      <w:r>
        <w:t>Retrospektive Analyse von 1272 gemeldeten unerwünschten Ereignissen (2013–2020) in einem polnischen Spezialkrankenhaus; 305 davon (24 %) waren erworbene Druckgeschwüre.</w:t>
      </w:r>
    </w:p>
    <w:p>
      <w:r>
        <w:rPr>
          <w:b/>
        </w:rPr>
        <w:t xml:space="preserve">Ergebnis: </w:t>
      </w:r>
      <w:r>
        <w:t>Patienten mit Druckgeschwüren hatten signifikant längere Krankenhausaufenthalte (18,64 vs. 12,62 Tage; p &lt; 0,001) und mehr verordnete Medikamente (18,14 vs. 10,43; p &lt; 0,001). Im multivariaten Modell waren höheres Alter, prolongierte Hospitalisierung, höhere Medikamentenzahl und größere Komorbiditätslast unabhängig mit Druckgeschwüren assoziiert. Systematische Überwachung könnte Hochrisikopatienten identifizieren.</w:t>
      </w:r>
    </w:p>
    <w:p>
      <w:r>
        <w:rPr>
          <w:b/>
          <w:sz w:val="19"/>
        </w:rPr>
        <w:t xml:space="preserve">Übertragbarkeit: </w:t>
      </w:r>
      <w:r>
        <w:rPr>
          <w:sz w:val="19"/>
        </w:rPr>
        <w:t>Polen, vergleichbare Meldepflichten für unerwünschte Ereignisse</w:t>
      </w:r>
    </w:p>
    <w:p>
      <w:r>
        <w:rPr>
          <w:color w:val="5A7D3A"/>
          <w:sz w:val="18"/>
        </w:rPr>
        <w:t>https://pubmed.ncbi.nlm.nih.gov/42814750/</w:t>
      </w:r>
    </w:p>
    <w:p>
      <w:pPr>
        <w:pStyle w:val="Heading2"/>
      </w:pPr>
      <w:r>
        <w:t>Verzögerte Notfall-Kaiserschnitte und Fehldiagnosen führten 2025 zu häufigsten Arztfehlerurteilen in Malaysia</w:t>
      </w:r>
    </w:p>
    <w:p>
      <w:r>
        <w:rPr>
          <w:i/>
          <w:color w:val="666666"/>
          <w:sz w:val="18"/>
        </w:rPr>
        <w:t>Zainal Abidin H et al.  ·  Med J Malaysia  ·  Sept. 2026  ·  PMID 42813486</w:t>
      </w:r>
    </w:p>
    <w:p>
      <w:r>
        <w:t>Retrospektive Fallanalyse von 29 Haftungsfällen aus 2025 mit strukturiertem dreistufigem Kodierungsrahmen zur Erfassung von Rechenschaftspflicht und klinischer Governance.</w:t>
      </w:r>
    </w:p>
    <w:p>
      <w:r>
        <w:rPr>
          <w:b/>
        </w:rPr>
        <w:t xml:space="preserve">Ergebnis: </w:t>
      </w:r>
      <w:r>
        <w:t>22 Fälle in High Court, überwiegend öffentliche Krankenhäuser; Orthopädie (n=10), Geburtsmedizin (n=8), andere Chirurgie (n=6). Haftungsauslöser: zeitkritische Verzögerungen (Notfall-Kaiserschnitt, Gefäßbehandlung), Diagnostikversäumnisse (radiologische Untersuchungen, Sepsisverschleppung), unzureichende informed consent, unvollständige Dokumentation. Klinische Hosps wurden für Systemversäumnisse haftbar gemacht (non-delegable duty); Dokumentationsmängel galten als schwerwiegende Aggravation.</w:t>
      </w:r>
    </w:p>
    <w:p>
      <w:r>
        <w:rPr>
          <w:b/>
          <w:sz w:val="19"/>
        </w:rPr>
        <w:t xml:space="preserve">Übertragbarkeit: </w:t>
      </w:r>
      <w:r>
        <w:rPr>
          <w:sz w:val="19"/>
        </w:rPr>
        <w:t>Malaysia, Verschuldenshaftung wie Deutschland, wachsende Systemverantwortlichkeit</w:t>
      </w:r>
    </w:p>
    <w:p>
      <w:r>
        <w:rPr>
          <w:color w:val="5A7D3A"/>
          <w:sz w:val="18"/>
        </w:rPr>
        <w:t>https://pubmed.ncbi.nlm.nih.gov/42813486/</w:t>
      </w:r>
    </w:p>
    <w:p>
      <w:pPr>
        <w:pStyle w:val="Heading2"/>
      </w:pPr>
      <w:r>
        <w:t>Procalcitonin erkannt pädiatrische Sepsis mit mäßiger Genauigkeit – nutzbarer Zusatzmarker</w:t>
      </w:r>
    </w:p>
    <w:p>
      <w:r>
        <w:rPr>
          <w:i/>
          <w:color w:val="666666"/>
          <w:sz w:val="18"/>
        </w:rPr>
        <w:t>Razak SMA et al.  ·  Med J Malaysia  ·  Sept. 2026  ·  PMID 42813484</w:t>
      </w:r>
    </w:p>
    <w:p>
      <w:r>
        <w:t>Retrospektive Studie in malaysischer Tertiärklinik (Juni 2022–Juni 2024); 242 Kinder mit PCT-Test; ROC-Analyse und diagnostische Genauigkeit bei 0,5 ng/mL Cutoff.</w:t>
      </w:r>
    </w:p>
    <w:p>
      <w:r>
        <w:rPr>
          <w:b/>
        </w:rPr>
        <w:t xml:space="preserve">Ergebnis: </w:t>
      </w:r>
      <w:r>
        <w:t>129 (53,3 %) Sepsis-Fälle. Mittlere PCT-Werte höher bei Sepsis (1,940 vs. 0,240 ng/mL; p&lt;0,0001). Bei Cutoff 0,5 ng/mL: Sensitivität 76 %, Spezifität 73,5 %, PPV 76,6 %, NPV 72,8 %, PLR 2,86, NLR 0,33, Diagn. OR 8,75. ROC AUC 0,747 (95%-KI 0,692–0,802). PCT moderat positiv korreliert mit CRP (r=0,546), nicht mit Leukozytenzahl.</w:t>
      </w:r>
    </w:p>
    <w:p>
      <w:r>
        <w:rPr>
          <w:b/>
          <w:sz w:val="19"/>
        </w:rPr>
        <w:t xml:space="preserve">Übertragbarkeit: </w:t>
      </w:r>
      <w:r>
        <w:rPr>
          <w:sz w:val="19"/>
        </w:rPr>
        <w:t>Malaysia, pädiatrische Bevölkerung, PCT als klinisches Adjuvans übertragbar</w:t>
      </w:r>
    </w:p>
    <w:p>
      <w:r>
        <w:rPr>
          <w:color w:val="5A7D3A"/>
          <w:sz w:val="18"/>
        </w:rPr>
        <w:t>https://pubmed.ncbi.nlm.nih.gov/42813484/</w:t>
      </w:r>
    </w:p>
    <w:p>
      <w:pPr>
        <w:pStyle w:val="Heading2"/>
      </w:pPr>
      <w:r>
        <w:t>Magnesiummangel erhöht nosokomiale Spontanperitonitis und Sepsis bei Zirrhose</w:t>
      </w:r>
    </w:p>
    <w:p>
      <w:r>
        <w:rPr>
          <w:i/>
          <w:color w:val="666666"/>
          <w:sz w:val="18"/>
        </w:rPr>
        <w:t>Duan XJ et al.  ·  Front Immunol  ·  15.09.2026  ·  PMID 42812346</w:t>
      </w:r>
    </w:p>
    <w:p>
      <w:r>
        <w:t>Retrospektive Kohortenstudie (n=1110) von Zirrhosepatienten (Mai 2021–Juni 2025) mit Magnesiumspiegeln innerhalb 48 h nach Aufnahme; multivariable Regression und restricted cubic spline-Analyse.</w:t>
      </w:r>
    </w:p>
    <w:p>
      <w:r>
        <w:rPr>
          <w:b/>
        </w:rPr>
        <w:t xml:space="preserve">Ergebnis: </w:t>
      </w:r>
      <w:r>
        <w:t>HA-SBP-Inzidenz 12,25 %, Sepsis 6,06 %. Pro 1-SD Magnesiumeröhung sanken HA-SBP-Risiko um 20,8 % (OR=0,792; 95%-KI 0,642–0,970; p=0,026) und Sepsisrisiko um 35,5 % (OR=0,645; 95%-KI 0,464–0,883; p=0,008). Hypomagnesämie vs. Normomagnesämie: OR für HA-SBP 1,520 (p=0,044), für Sepsis 2,213 (p=0,013). Lineare inverse Beziehung in RCS-Analyse (beide p&gt;0,05). AUC für HA-SBP 0,635, für Sepsis 0,688.</w:t>
      </w:r>
    </w:p>
    <w:p>
      <w:r>
        <w:rPr>
          <w:b/>
          <w:sz w:val="19"/>
        </w:rPr>
        <w:t xml:space="preserve">Übertragbarkeit: </w:t>
      </w:r>
      <w:r>
        <w:rPr>
          <w:sz w:val="19"/>
        </w:rPr>
        <w:t>China, Sepsisrisikofaktor mit messbarem Effekt, Interventionspotenzial</w:t>
      </w:r>
    </w:p>
    <w:p>
      <w:r>
        <w:rPr>
          <w:color w:val="5A7D3A"/>
          <w:sz w:val="18"/>
        </w:rPr>
        <w:t>https://pubmed.ncbi.nlm.nih.gov/42812346/</w:t>
      </w:r>
    </w:p>
    <w:p>
      <w:pPr>
        <w:pStyle w:val="Heading2"/>
      </w:pPr>
      <w:r>
        <w:t>Zinkmangelassoziiert mit höherer Sepsismortalität – Frühaufgriff ermöglicht Intervention</w:t>
      </w:r>
    </w:p>
    <w:p>
      <w:r>
        <w:rPr>
          <w:i/>
          <w:color w:val="666666"/>
          <w:sz w:val="18"/>
        </w:rPr>
        <w:t>Tuan NV et al.  ·  Int J Infect Dis  ·  25.08.2026  ·  PMID 42641939</w:t>
      </w:r>
    </w:p>
    <w:p>
      <w:r>
        <w:t>Prospektive Kohortenstudie (n=120) zu Zinkspiegeln bei Sepsispatienten zwischen Aufnahme und Tag 3; Analysen mit gemischtem Modell und Cox-Regression.</w:t>
      </w:r>
    </w:p>
    <w:p>
      <w:r>
        <w:rPr>
          <w:b/>
        </w:rPr>
        <w:t xml:space="preserve">Ergebnis: </w:t>
      </w:r>
      <w:r>
        <w:t>Patienten, die bis Tag 7 starben, zeigten keine unterschiedlichen Ausgangszinkwerte, aber niedrigere Zinkwerte am Tag 3 (56,05 vs. 68,65 µg/dL; p=0,081) und geringere Zinkzunahme vom Aufnahme- bis Tag 3 (0,80 vs. 15,40 µg/dL; p=0,017). Höhere Zinkwerte am Tag 3 waren mit niedrigerer Mortalität assoziiert (HR pro 10 µg/dL 0,77; 95%-KI 0,60–0,97; p=0,028). Versatz der Zinktrajektor zeichnete signifikant unterschiedliche Kurven nach Ausgang (Interaktion p=0,0022).</w:t>
      </w:r>
    </w:p>
    <w:p>
      <w:r>
        <w:rPr>
          <w:b/>
          <w:sz w:val="19"/>
        </w:rPr>
        <w:t xml:space="preserve">Übertragbarkeit: </w:t>
      </w:r>
      <w:r>
        <w:rPr>
          <w:sz w:val="19"/>
        </w:rPr>
        <w:t>Vietnam mit deutschem Partnerzentrum, messbarer Frühmarker für Sepsisrisiko</w:t>
      </w:r>
    </w:p>
    <w:p>
      <w:r>
        <w:rPr>
          <w:color w:val="5A7D3A"/>
          <w:sz w:val="18"/>
        </w:rPr>
        <w:t>https://pubmed.ncbi.nlm.nih.gov/42641939/</w:t>
      </w:r>
    </w:p>
    <w:p>
      <w:pPr>
        <w:pStyle w:val="Heading1"/>
      </w:pPr>
      <w:r>
        <w:t>Aufgenommen am 30.09.2026</w:t>
      </w:r>
    </w:p>
    <w:p>
      <w:pPr>
        <w:pStyle w:val="Heading2"/>
      </w:pPr>
      <w:r>
        <w:t>Chirurgische Infektionen steigern Behandlungskosten nach Bauchoperationen um 29.600 Euro</w:t>
      </w:r>
    </w:p>
    <w:p>
      <w:r>
        <w:rPr>
          <w:i/>
          <w:color w:val="666666"/>
          <w:sz w:val="18"/>
        </w:rPr>
        <w:t>Bontekoning N et al.  ·  BJS Open  ·  04.09.2026  ·  PMID 42808217</w:t>
      </w:r>
    </w:p>
    <w:p>
      <w:r>
        <w:t>Sekundäranalyse der EPO2CH-Studie mit 1.119 Patienten quantifizierte Kosten und Lebensqualität nach elektiven Bauchoperationen mit Infektionen versus ohne.</w:t>
      </w:r>
    </w:p>
    <w:p>
      <w:r>
        <w:rPr>
          <w:b/>
        </w:rPr>
        <w:t xml:space="preserve">Ergebnis: </w:t>
      </w:r>
      <w:r>
        <w:t>Patienten mit Infektionen: durchschnittliche Kosten 53.562 Euro vs. 23.969 Euro ohne Infektionen (Differenz 29.592 Euro). Qualitätsverlust: 0,171 QALYs vs. 0,205 ohne Infektionen (Differenz -0,035), entsprechend 12,78 Tagen verlorener Gesundheit in 3 Monaten. Anastomoseninsuffizienz mit höchsten Kosten (56.401 Euro mehr).</w:t>
      </w:r>
    </w:p>
    <w:p>
      <w:r>
        <w:rPr>
          <w:b/>
          <w:sz w:val="19"/>
        </w:rPr>
        <w:t xml:space="preserve">Übertragbarkeit: </w:t>
      </w:r>
      <w:r>
        <w:rPr>
          <w:sz w:val="19"/>
        </w:rPr>
        <w:t>Niederländische Klinikdaten, vergleichbares Versicherungssystem</w:t>
      </w:r>
    </w:p>
    <w:p>
      <w:r>
        <w:rPr>
          <w:color w:val="5A7D3A"/>
          <w:sz w:val="18"/>
        </w:rPr>
        <w:t>https://pubmed.ncbi.nlm.nih.gov/42808217/</w:t>
      </w:r>
    </w:p>
    <w:p>
      <w:pPr>
        <w:pStyle w:val="Heading2"/>
      </w:pPr>
      <w:r>
        <w:t>Desinfektion der Reinigungswerkzeuge senkt Pathogenkontamination um 50 Prozent</w:t>
      </w:r>
    </w:p>
    <w:p>
      <w:r>
        <w:rPr>
          <w:i/>
          <w:color w:val="666666"/>
          <w:sz w:val="18"/>
        </w:rPr>
        <w:t>Zhang X et al.  ·  Front Public Health  ·  14.09.2026  ·  PMID 42807511</w:t>
      </w:r>
    </w:p>
    <w:p>
      <w:r>
        <w:t>Querschnittsstudie mit 5.000 Proben von wiederverwendbaren Reinigungswerkzeugen in Shanghaier Krankenhäusern ermittelte Kontaminationsquoten und Effektivität von Desinfektionsmethoden.</w:t>
      </w:r>
    </w:p>
    <w:p>
      <w:r>
        <w:rPr>
          <w:b/>
        </w:rPr>
        <w:t xml:space="preserve">Ergebnis: </w:t>
      </w:r>
      <w:r>
        <w:t>Gesamtkontaminationsquote 7,44%. Werkzeuge ohne routinemäßige Desinfektion: 1,859-fach höheres Infektionsrisiko (OR; 95%-KI 1,283–2,691). Disposable-Desinfektionstücher effektiver als Wischen mit Lappen (p=0,038). Interne Medizin und Chirurgie höheres Risiko als Intensivstation (OR 1,90 bzw. 1,92).</w:t>
      </w:r>
    </w:p>
    <w:p>
      <w:r>
        <w:rPr>
          <w:b/>
          <w:sz w:val="19"/>
        </w:rPr>
        <w:t xml:space="preserve">Übertragbarkeit: </w:t>
      </w:r>
      <w:r>
        <w:rPr>
          <w:sz w:val="19"/>
        </w:rPr>
        <w:t>China, Prinzipien universal, aber lokale Hygienestandards variabel</w:t>
      </w:r>
    </w:p>
    <w:p>
      <w:r>
        <w:rPr>
          <w:color w:val="5A7D3A"/>
          <w:sz w:val="18"/>
        </w:rPr>
        <w:t>https://pubmed.ncbi.nlm.nih.gov/42807511/</w:t>
      </w:r>
    </w:p>
    <w:p>
      <w:pPr>
        <w:pStyle w:val="Heading2"/>
      </w:pPr>
      <w:r>
        <w:t>Infektionsprävention kontrolierte ESBL-Klebsiella-Ausbruch auf Neugeborenen-Station in 2 Monaten</w:t>
      </w:r>
    </w:p>
    <w:p>
      <w:r>
        <w:rPr>
          <w:i/>
          <w:color w:val="666666"/>
          <w:sz w:val="18"/>
        </w:rPr>
        <w:t>Comelli A et al.  ·  Antimicrob Resist Infect Control  ·  29.09.2026  ·  PMID 42806396</w:t>
      </w:r>
    </w:p>
    <w:p>
      <w:r>
        <w:t>Retrospektive Fall-Kontroll-Studie eines Ausbruchs mit 44 bestätigten ESBL-Klebsiella-Fällen in einer Neugeborenen-Intensivstation in Bangui dokumentierte Maßnahmen zur Ausbruchkontrolle.</w:t>
      </w:r>
    </w:p>
    <w:p>
      <w:r>
        <w:rPr>
          <w:b/>
        </w:rPr>
        <w:t xml:space="preserve">Ergebnis: </w:t>
      </w:r>
      <w:r>
        <w:t>Inzidenz 29,7 Fälle pro 1.000 Patiententage. Mortalität in der Infektionsgruppe 3,5-fach höher. Überbelegung &gt;100% und schlechte Infektionsprävention initial. Nach IPC-Interventionen (erste Monatshälfte): Ausbruch in ~2 Monaten kontrolliert. 56,8% frühe Sepsis, maternale Risikofaktoren stärkster unabhängiger Risikofaktor.</w:t>
      </w:r>
    </w:p>
    <w:p>
      <w:r>
        <w:rPr>
          <w:b/>
          <w:sz w:val="19"/>
        </w:rPr>
        <w:t xml:space="preserve">Übertragbarkeit: </w:t>
      </w:r>
      <w:r>
        <w:rPr>
          <w:sz w:val="19"/>
        </w:rPr>
        <w:t>Mittel-Afrika, prinzipien auf Deutschland übertragbar, aber Ressourcenunterschiede erheblich</w:t>
      </w:r>
    </w:p>
    <w:p>
      <w:r>
        <w:rPr>
          <w:color w:val="5A7D3A"/>
          <w:sz w:val="18"/>
        </w:rPr>
        <w:t>https://pubmed.ncbi.nlm.nih.gov/42806396/</w:t>
      </w:r>
    </w:p>
    <w:p>
      <w:pPr>
        <w:pStyle w:val="Heading2"/>
      </w:pPr>
      <w:r>
        <w:t>Mitochondriale Proteine prognostizieren Sepsis-Mortalität: 72-Stunden-Vorhersage möglich</w:t>
      </w:r>
    </w:p>
    <w:p>
      <w:r>
        <w:rPr>
          <w:i/>
          <w:color w:val="666666"/>
          <w:sz w:val="18"/>
        </w:rPr>
        <w:t>Meems CJ et al.  ·  Crit Care  ·  29.08.2026  ·  PMID 42806380</w:t>
      </w:r>
    </w:p>
    <w:p>
      <w:r>
        <w:t>Post-hoc-Analyse der Acutelines-Biobank mit 213 Sepsis-Patienten untersuchte, ob Plasmaprofile mitochondrial-assoziierter Proteine (232 aus 5.416 gemessenen) mit Schweregrad und Kurzzeitausgang verbunden sind.</w:t>
      </w:r>
    </w:p>
    <w:p>
      <w:r>
        <w:rPr>
          <w:b/>
        </w:rPr>
        <w:t xml:space="preserve">Ergebnis: </w:t>
      </w:r>
      <w:r>
        <w:t>Mitochondrial-Protein-Score korrelierte mit Schweregrad (Spearman ρ 0,18–0,29; p&lt;0,01) und schlechteren 72-h-Ergebnissen: Organversagen-freies Überleben OR 0,57 pro Standardabweichung; ICU-Aufnahme OR 1,66; Mortalität OR 2,36. Zwei Cluster identifiziert, aber eher kontinuierliches Spektrum als diskrete Subphänotypen.</w:t>
      </w:r>
    </w:p>
    <w:p>
      <w:r>
        <w:rPr>
          <w:b/>
          <w:sz w:val="19"/>
        </w:rPr>
        <w:t xml:space="preserve">Übertragbarkeit: </w:t>
      </w:r>
      <w:r>
        <w:rPr>
          <w:sz w:val="19"/>
        </w:rPr>
        <w:t>Niederlande, europäisches Gesundheitssystem, methodisch vergleichbar</w:t>
      </w:r>
    </w:p>
    <w:p>
      <w:r>
        <w:rPr>
          <w:color w:val="5A7D3A"/>
          <w:sz w:val="18"/>
        </w:rPr>
        <w:t>https://pubmed.ncbi.nlm.nih.gov/42806380/</w:t>
      </w:r>
    </w:p>
    <w:p>
      <w:pPr>
        <w:pStyle w:val="Heading2"/>
      </w:pPr>
      <w:r>
        <w:t>Bluttransfusion bei krebskranken Sepsis-Patienten: restrictive Strategie nicht unterlegen</w:t>
      </w:r>
    </w:p>
    <w:p>
      <w:r>
        <w:rPr>
          <w:i/>
          <w:color w:val="666666"/>
          <w:sz w:val="18"/>
        </w:rPr>
        <w:t>Pène F et al.  ·  Intensive Care Med  ·  19.08.2026  ·  PMID 42616082</w:t>
      </w:r>
    </w:p>
    <w:p>
      <w:r>
        <w:t>Randomisierte Studie (TRANSPORT) mit 187 Patienten mit Krebs und septischem Schock verglich liberale versus restrictive RBC-Transfusionsstrategie auf Basis Hämoglobin-Schwellenwerte.</w:t>
      </w:r>
    </w:p>
    <w:p>
      <w:r>
        <w:rPr>
          <w:b/>
        </w:rPr>
        <w:t xml:space="preserve">Ergebnis: </w:t>
      </w:r>
      <w:r>
        <w:t>Liberale Gruppe (Hb 9,0): 52% mit 12-h-Laktat-Reduktion. Restrictive Gruppe (Hb 7,0): 50% (OR 1,07; KI 0,60–1,90; p=0,82). Thrombotische Ereignisse liberale: 13% vs. restrictive 1% (p=0,001). 28-Tage-Mortalität 46% vs. 53% (p=0,34). Studie vorzeitig wegen Sicherheitsbedenken gestoppt.</w:t>
      </w:r>
    </w:p>
    <w:p>
      <w:r>
        <w:rPr>
          <w:b/>
          <w:sz w:val="19"/>
        </w:rPr>
        <w:t xml:space="preserve">Übertragbarkeit: </w:t>
      </w:r>
      <w:r>
        <w:rPr>
          <w:sz w:val="19"/>
        </w:rPr>
        <w:t>Frankreich, europäisches Gesundheitssystem, Design übertragbar</w:t>
      </w:r>
    </w:p>
    <w:p>
      <w:r>
        <w:rPr>
          <w:color w:val="5A7D3A"/>
          <w:sz w:val="18"/>
        </w:rPr>
        <w:t>https://pubmed.ncbi.nlm.nih.gov/42616082/</w:t>
      </w:r>
    </w:p>
    <w:p>
      <w:pPr>
        <w:pStyle w:val="Heading2"/>
      </w:pPr>
      <w:r>
        <w:t>Pandemie änderte Sterberisiko viraler Sepsis: französische ICU-Kohortenstudie</w:t>
      </w:r>
    </w:p>
    <w:p>
      <w:r>
        <w:rPr>
          <w:i/>
          <w:color w:val="666666"/>
          <w:sz w:val="18"/>
        </w:rPr>
        <w:t>Al Rahmoun M et al.  ·  Int J Infect Dis  ·  16.08.2026  ·  PMID 42604654</w:t>
      </w:r>
    </w:p>
    <w:p>
      <w:r>
        <w:t>Analyse von 604.517 Patienten auf französischen Intensivstationen zeigte, dass COVID-19-Pandemie die Mortalitätsassoziation zwischen viraler und bakterieller Sepsis umkehrte.</w:t>
      </w:r>
    </w:p>
    <w:p>
      <w:r>
        <w:rPr>
          <w:b/>
        </w:rPr>
        <w:t xml:space="preserve">Ergebnis: </w:t>
      </w:r>
      <w:r>
        <w:t>Präpandemisch: virale Sepsis mit reduzierter In-Hospital-Mortalität vs. bakterieller Sepsis (aOR 0,63 bis 0,67). Während Pandemie: virale Sepsis (überwiegend COVID-19) mit erhöhter Mortalität (aOR 1,41 mit Koinfektionen). Gesamtmortalität stationär 29,2%, 90-Tage-Mortalität 34,0%.</w:t>
      </w:r>
    </w:p>
    <w:p>
      <w:r>
        <w:rPr>
          <w:b/>
          <w:sz w:val="19"/>
        </w:rPr>
        <w:t xml:space="preserve">Übertragbarkeit: </w:t>
      </w:r>
      <w:r>
        <w:rPr>
          <w:sz w:val="19"/>
        </w:rPr>
        <w:t>Französische Kohortendaten, europäisches Gesundheitssystem, direkt übertragbar</w:t>
      </w:r>
    </w:p>
    <w:p>
      <w:r>
        <w:rPr>
          <w:color w:val="5A7D3A"/>
          <w:sz w:val="18"/>
        </w:rPr>
        <w:t>https://pubmed.ncbi.nlm.nih.gov/42604654/</w:t>
      </w:r>
    </w:p>
    <w:p>
      <w:pPr>
        <w:pStyle w:val="Heading1"/>
      </w:pPr>
      <w:r>
        <w:t>Aufgenommen am 29.09.2026</w:t>
      </w:r>
    </w:p>
    <w:p>
      <w:pPr>
        <w:pStyle w:val="Heading2"/>
      </w:pPr>
      <w:r>
        <w:t>Invasive Geräte und Zimmerbelegung mit CRE-Patienten verdoppeln Kolonisierungsrisiko in Langzeitpflege</w:t>
      </w:r>
    </w:p>
    <w:p>
      <w:r>
        <w:rPr>
          <w:i/>
          <w:color w:val="666666"/>
          <w:sz w:val="18"/>
        </w:rPr>
        <w:t>Hwang H et al.  ·  PLoS One  ·  28.09.2026  ·  PMID 42804487</w:t>
      </w:r>
    </w:p>
    <w:p>
      <w:r>
        <w:t>Prospektive aktive Überwachungsstudie an 140 Patienten in 4 südkoreanischen Langzeitkrankenhäusern (Nov. 2023 – Dez. 2024): Asymptomatic-CRE-Kolonisierungsprävalenz und Akquisitionsrisiken wurden untersucht.</w:t>
      </w:r>
    </w:p>
    <w:p>
      <w:r>
        <w:rPr>
          <w:b/>
        </w:rPr>
        <w:t xml:space="preserve">Ergebnis: </w:t>
      </w:r>
      <w:r>
        <w:t>Gesamtprävalenz: 24,3% (34/140); bei Neuzuweisungen 30,8%, bei Dauerpatienten 21,8%. Unter initial negativen Patienten: 8,6% erwarben CRE während Aufenthalt. Cox-Regression: invasive Geräte im letzten Jahr HR 9,83; vorherige Zimmerbelegung mit CRE-Positiven HR 5,01. KPC dominant (80%). Die Studie zeigt: Standardprecautions und zeitnahes Cohorting essentiell.</w:t>
      </w:r>
    </w:p>
    <w:p>
      <w:r>
        <w:rPr>
          <w:b/>
          <w:sz w:val="19"/>
        </w:rPr>
        <w:t xml:space="preserve">Übertragbarkeit: </w:t>
      </w:r>
      <w:r>
        <w:rPr>
          <w:sz w:val="19"/>
        </w:rPr>
        <w:t>Südkorea, vergleichbare Struktur langer Betreuung</w:t>
      </w:r>
    </w:p>
    <w:p>
      <w:r>
        <w:rPr>
          <w:color w:val="5A7D3A"/>
          <w:sz w:val="18"/>
        </w:rPr>
        <w:t>https://pubmed.ncbi.nlm.nih.gov/42804487/</w:t>
      </w:r>
    </w:p>
    <w:p>
      <w:pPr>
        <w:pStyle w:val="Heading2"/>
      </w:pPr>
      <w:r>
        <w:t>Frühzeitige hämodynamische Reaktion auf Dobutamin senkt Sepsissterblichkeit</w:t>
      </w:r>
    </w:p>
    <w:p>
      <w:r>
        <w:rPr>
          <w:i/>
          <w:color w:val="666666"/>
          <w:sz w:val="18"/>
        </w:rPr>
        <w:t>Tarbaghia M et al.  ·  Crit Care Explor  ·  01.10.2026  ·  PMID 42804358</w:t>
      </w:r>
    </w:p>
    <w:p>
      <w:r>
        <w:t>Retrospektive Kohortenstudie von 104 Patienten mit septischem Schock und Myokarddysfunktion: Hämodynamische Ansprechbarkeit auf Dobutamin (Steigerung der zentralvenösen O2-Sättigung um ≥5 Prozentpunkte plus Reduktion der Noradrenalin-Äquivalentdosis) wurde nach 2 Stunden definiert und mit 28-Tage-ICU-Mortalität verglichen.</w:t>
      </w:r>
    </w:p>
    <w:p>
      <w:r>
        <w:rPr>
          <w:b/>
        </w:rPr>
        <w:t xml:space="preserve">Ergebnis: </w:t>
      </w:r>
      <w:r>
        <w:t>37 Patienten (36%) waren Responder. Nach multivariater Anpassung war hämodynamische Response mit niedrigerer 28-Tage-ICU-Mortalität assoziiert (OR 0,18; 95%-KI 0,04–0,68; p=0,018): 41% Responder vs. 58% Non-Responder. Responder hatten mehr ICU-freie Tage (17 vs. 0). Baseline-Echokardiographieparameter identifizierten Responder nicht.</w:t>
      </w:r>
    </w:p>
    <w:p>
      <w:r>
        <w:rPr>
          <w:b/>
          <w:sz w:val="19"/>
        </w:rPr>
        <w:t xml:space="preserve">Übertragbarkeit: </w:t>
      </w:r>
      <w:r>
        <w:rPr>
          <w:sz w:val="19"/>
        </w:rPr>
        <w:t>USA; Sicherheitsbefund und Outcome-Hierarchie sind übertragbar</w:t>
      </w:r>
    </w:p>
    <w:p>
      <w:r>
        <w:rPr>
          <w:color w:val="5A7D3A"/>
          <w:sz w:val="18"/>
        </w:rPr>
        <w:t>https://pubmed.ncbi.nlm.nih.gov/42804358/</w:t>
      </w:r>
    </w:p>
    <w:p>
      <w:pPr>
        <w:pStyle w:val="Heading2"/>
      </w:pPr>
      <w:r>
        <w:t>Prehospital Fieber und gastrointestinale Symptome beeinflussen Antibiotikatiming bei Sepsis</w:t>
      </w:r>
    </w:p>
    <w:p>
      <w:r>
        <w:rPr>
          <w:i/>
          <w:color w:val="666666"/>
          <w:sz w:val="18"/>
        </w:rPr>
        <w:t>Conlon A et al.  ·  JAMA Netw Open  ·  01.09.2026  ·  PMID 42804206</w:t>
      </w:r>
    </w:p>
    <w:p>
      <w:r>
        <w:t>Kohortenstudie an 29.647 Patienten mit vermuteter bakterieller Sepsis: Präsentation mit Fieber erhöhte die Quote zeitiger Antibiotikagabe (≤3h bei Hypotonie, ≤5h ohne), gastrointestinale Symptome senkten sie; zeitige Antibiotika verbesserten 28-Tage-Mortalität auch nach Anpassung für Symptome.</w:t>
      </w:r>
    </w:p>
    <w:p>
      <w:r>
        <w:rPr>
          <w:b/>
        </w:rPr>
        <w:t xml:space="preserve">Ergebnis: </w:t>
      </w:r>
      <w:r>
        <w:t>Unter 6.704 Patienten mit Hypotonie erhielten 65,8% zeitig Antibiotika (innerhalb 3h); unter 22.942 ohne Hypotonie 76,5% (innerhalb 5h). Fieber war mit erhöhten Chancen zeitiger Antibiotika assoziiert (mit Hypotonie: aOR 1,34; ohne: aOR 1,26), gastrointestinale Symptome mit erniedrigten (aOR 0,84 bzw. 0,80). Zeitige Antibiotika: adjustierte absolute Mortalitätsdifferenz −2,10 Prozentpunkte. Die Studie zeigt: Klinische Präsentation steuert Erkennungsgeschwindigkeit, zeitige Therapie bleibt assoziiert mit besseren Outcomes.</w:t>
      </w:r>
    </w:p>
    <w:p>
      <w:r>
        <w:rPr>
          <w:b/>
          <w:sz w:val="19"/>
        </w:rPr>
        <w:t xml:space="preserve">Übertragbarkeit: </w:t>
      </w:r>
      <w:r>
        <w:rPr>
          <w:sz w:val="19"/>
        </w:rPr>
        <w:t>USA, Kohortendaten; nur Sicherheitsbefund ist übertragbar</w:t>
      </w:r>
    </w:p>
    <w:p>
      <w:r>
        <w:rPr>
          <w:color w:val="5A7D3A"/>
          <w:sz w:val="18"/>
        </w:rPr>
        <w:t>https://pubmed.ncbi.nlm.nih.gov/42804206/</w:t>
      </w:r>
    </w:p>
    <w:p>
      <w:pPr>
        <w:pStyle w:val="Heading2"/>
      </w:pPr>
      <w:r>
        <w:t>Systemischer Immun-Inflammations-Index senkt Antibiotikatage bei Neugeborenen-Sepsis um ein Drittel</w:t>
      </w:r>
    </w:p>
    <w:p>
      <w:r>
        <w:rPr>
          <w:i/>
          <w:color w:val="666666"/>
          <w:sz w:val="18"/>
        </w:rPr>
        <w:t>Gök ÇC et al.  ·  Eur J Pediatr  ·  28.09.2026  ·  PMID 42804011</w:t>
      </w:r>
    </w:p>
    <w:p>
      <w:r>
        <w:t>Retrospektive Kohortenstudie von 275 Neugeborenen (85 mit Blutkulturbewiesener früher Sepsis, 190 Kontrollen): SII als Marker für therapeutische Ansprechbarkeit und Antibiotic-Stewardship-Potenzial wurde bewertet.</w:t>
      </w:r>
    </w:p>
    <w:p>
      <w:r>
        <w:rPr>
          <w:b/>
        </w:rPr>
        <w:t xml:space="preserve">Ergebnis: </w:t>
      </w:r>
      <w:r>
        <w:t>Bei Diagnose: SII in Sepsisgruppe 812 (IQR 650–1120) vs. 515 (410–630) in Kontrollen; p&lt;0,001; AUC 0,87. Am Tag 3 zeigte SII schnellere Abnahme als CRP in 74,1% der Sepsisfälle. SII könnte schnell-Responder früh erkennen und sicher verkürzte Antibiotika-Kurse lenken – Unterschied zur tradierten CRP-Kinetik erheblich.</w:t>
      </w:r>
    </w:p>
    <w:p>
      <w:r>
        <w:rPr>
          <w:b/>
          <w:sz w:val="19"/>
        </w:rPr>
        <w:t xml:space="preserve">Übertragbarkeit: </w:t>
      </w:r>
      <w:r>
        <w:rPr>
          <w:sz w:val="19"/>
        </w:rPr>
        <w:t>Türkei; Sepsismarker sind länderübergreifend vergleichbar</w:t>
      </w:r>
    </w:p>
    <w:p>
      <w:r>
        <w:rPr>
          <w:color w:val="5A7D3A"/>
          <w:sz w:val="18"/>
        </w:rPr>
        <w:t>https://pubmed.ncbi.nlm.nih.gov/42804011/</w:t>
      </w:r>
    </w:p>
    <w:p>
      <w:pPr>
        <w:pStyle w:val="Heading2"/>
      </w:pPr>
      <w:r>
        <w:t>Scoring-Modell identifiziert Risiko für Endoskop-Reprocessing-Fehler mit 78% Spezifität</w:t>
      </w:r>
    </w:p>
    <w:p>
      <w:r>
        <w:rPr>
          <w:i/>
          <w:color w:val="666666"/>
          <w:sz w:val="18"/>
        </w:rPr>
        <w:t>Fang L et al.  ·  J Int Med Res  ·  28.09.2026  ·  PMID 42803735</w:t>
      </w:r>
    </w:p>
    <w:p>
      <w:r>
        <w:t>Retrospektive Observationsstudie an 2.744 Gastroskopie-Reprocessing-Zyklen in 3 chinesischen Zentren (Jan.–Dez. 2025): Ein Risikomodell wurde zur Vorhersage von Reprocessing-Fehlern entwickelt und intern validiert.</w:t>
      </w:r>
    </w:p>
    <w:p>
      <w:r>
        <w:rPr>
          <w:b/>
        </w:rPr>
        <w:t xml:space="preserve">Ergebnis: </w:t>
      </w:r>
      <w:r>
        <w:t>24,85% Fehlerquote (682/2.744). Sechs unabhängige Prädiktoren: Personal, Wascher-Desinfektor-Typ, Zubehör-Nutzungshäufigkeit, Reparaturvorgeschichte, Zeit bis Reprocessing, Personalalter. Scoring-Bereich −2 bis 18; AUC 0,834 (95%-KI 0,804–0,864) in Validierung. Bei Cutoff ≥10: Sensitivität 0,725, Spezifität 0,808, NPV 0,899. Praktisches System zur Früherkennung risikobehafteter Prozesse.</w:t>
      </w:r>
    </w:p>
    <w:p>
      <w:r>
        <w:rPr>
          <w:b/>
          <w:sz w:val="19"/>
        </w:rPr>
        <w:t xml:space="preserve">Übertragbarkeit: </w:t>
      </w:r>
      <w:r>
        <w:rPr>
          <w:sz w:val="19"/>
        </w:rPr>
        <w:t>China; externe Validierung notwendig</w:t>
      </w:r>
    </w:p>
    <w:p>
      <w:r>
        <w:rPr>
          <w:color w:val="5A7D3A"/>
          <w:sz w:val="18"/>
        </w:rPr>
        <w:t>https://pubmed.ncbi.nlm.nih.gov/42803735/</w:t>
      </w:r>
    </w:p>
    <w:p>
      <w:pPr>
        <w:pStyle w:val="Heading2"/>
      </w:pPr>
      <w:r>
        <w:t>Risikoscores für Tuberkulose-Medikamentennebenwirkungen zeigen moderate Diskriminierung, aber hohe Bias</w:t>
      </w:r>
    </w:p>
    <w:p>
      <w:r>
        <w:rPr>
          <w:i/>
          <w:color w:val="666666"/>
          <w:sz w:val="18"/>
        </w:rPr>
        <w:t>Li H et al.  ·  Front Public Health  ·  11.09.2026  ·  PMID 42798580</w:t>
      </w:r>
    </w:p>
    <w:p>
      <w:r>
        <w:t>Systematische Übersicht und Metaanalyse von 26 Studien (31 Modelle, n≈41.734) zu Vorhersagemodellen für medikamenteninduzierte Leberschädigung unter Anti-TB-Therapie in Ostasien: Validierung, Bias und Diskriminationsfähigkeit wurden bewertet.</w:t>
      </w:r>
    </w:p>
    <w:p>
      <w:r>
        <w:rPr>
          <w:b/>
        </w:rPr>
        <w:t xml:space="preserve">Ergebnis: </w:t>
      </w:r>
      <w:r>
        <w:t>Gepoolte AUC=0,81 (0,624–1,0 im Einzelnen). Nur eine Studie mit niedrigem Bias-Risiko; alle anderen mit hohem Risiko wegen fehlerhafter Datenbehandlung und univariater Prädiktorenauswahl. Risikofaktoren (p&lt;0,05): Lebererkrankungen, extrapulmonale TB, Alter ≥60, Alkohol, Komorbiditäten, Rückfallbehandlung, erhöhte AST, Diabetes, Rauchen. Uric acid inverse assoziiert. Hepatoprotektive Mittel zeigten keine Wirkung.</w:t>
      </w:r>
    </w:p>
    <w:p>
      <w:r>
        <w:rPr>
          <w:b/>
          <w:sz w:val="19"/>
        </w:rPr>
        <w:t xml:space="preserve">Übertragbarkeit: </w:t>
      </w:r>
      <w:r>
        <w:rPr>
          <w:sz w:val="19"/>
        </w:rPr>
        <w:t>Ostasien; methodische Schwächen begrenzen Anwendbarkeit</w:t>
      </w:r>
    </w:p>
    <w:p>
      <w:r>
        <w:rPr>
          <w:color w:val="5A7D3A"/>
          <w:sz w:val="18"/>
        </w:rPr>
        <w:t>https://pubmed.ncbi.nlm.nih.gov/42798580/</w:t>
      </w:r>
    </w:p>
    <w:p>
      <w:pPr>
        <w:pStyle w:val="Heading2"/>
      </w:pPr>
      <w:r>
        <w:t>Candida-parapsilosis-Fungämien auf Intensivstationen: resistenzabhängig höhere Sterblichkeit, keine schnellere Therapie hilft</w:t>
      </w:r>
    </w:p>
    <w:p>
      <w:r>
        <w:rPr>
          <w:i/>
          <w:color w:val="666666"/>
          <w:sz w:val="18"/>
        </w:rPr>
        <w:t>Katsiari M et al.  ·  Pathogens  ·  13.07.2026  ·  PMID 42515061</w:t>
      </w:r>
    </w:p>
    <w:p>
      <w:r>
        <w:t>Retrospektive Observationsstudie von 90 ICU-Patienten mit Candidämie (Athen, Griechenland): Speziesverteilung, Fluconazol-Resistenzen und Mortalitätsassoziationen wurden über ein Jahrzehnt verfolgt.</w:t>
      </w:r>
    </w:p>
    <w:p>
      <w:r>
        <w:rPr>
          <w:b/>
        </w:rPr>
        <w:t xml:space="preserve">Ergebnis: </w:t>
      </w:r>
      <w:r>
        <w:t>C. parapsilosis 33,7% (41,9% fluconazol-resistent), C. albicans 31,5%, C. auris 23,9%. Non-albicans-Bacteraemia trat später auf, mit niedrigerer Severity, aber fünffacher Vortherapie mit Antimykotika. Gesamtmortalität 53,3%; kein signifikanter Art-Unterschied. Weder prompte Therapie noch Antimykotikaklasse waren mit besserer Überlebenschance assoziiert. Mangelnde Effektivität therapeutischer Timing-Strategien.</w:t>
      </w:r>
    </w:p>
    <w:p>
      <w:r>
        <w:rPr>
          <w:b/>
          <w:sz w:val="19"/>
        </w:rPr>
        <w:t xml:space="preserve">Übertragbarkeit: </w:t>
      </w:r>
      <w:r>
        <w:rPr>
          <w:sz w:val="19"/>
        </w:rPr>
        <w:t>Griechenland (Europa); comparable ICU-Praxis</w:t>
      </w:r>
    </w:p>
    <w:p>
      <w:r>
        <w:rPr>
          <w:color w:val="5A7D3A"/>
          <w:sz w:val="18"/>
        </w:rPr>
        <w:t>https://pubmed.ncbi.nlm.nih.gov/42515061/</w:t>
      </w:r>
    </w:p>
    <w:p>
      <w:pPr>
        <w:pStyle w:val="Heading1"/>
      </w:pPr>
      <w:r>
        <w:t>Aufgenommen am 28.09.2026</w:t>
      </w:r>
    </w:p>
    <w:p>
      <w:pPr>
        <w:pStyle w:val="Heading2"/>
      </w:pPr>
      <w:r>
        <w:t>Unangemessene Empirikatherapie bei Blutvergiftung: Muster und vermeidbare Fehler</w:t>
      </w:r>
    </w:p>
    <w:p>
      <w:r>
        <w:rPr>
          <w:i/>
          <w:color w:val="666666"/>
          <w:sz w:val="18"/>
        </w:rPr>
        <w:t>Komori A et al.  ·  Medicine (Baltimore)  ·  25.09.2026  ·  PMID 42798086</w:t>
      </w:r>
    </w:p>
    <w:p>
      <w:r>
        <w:t>Retrospektive Analyse von Sepsispatienten in der Notaufnahme, die Antibiotika vor Kulturbefund erhielten, aber gegen den später isolierten Erreger unwirksam waren.</w:t>
      </w:r>
    </w:p>
    <w:p>
      <w:r>
        <w:rPr>
          <w:b/>
        </w:rPr>
        <w:t xml:space="preserve">Ergebnis: </w:t>
      </w:r>
      <w:r>
        <w:t>Von 118 Bacterämiepatienten erhielten 11 (9,3%) mikrobiologisch unangemessene Initialtherapie. Hauptursachen: Extended-Spectrum-β-Lactamase-Enterobakterien trotz richtiger Fokusdiagnose (mehrheitlich) oder Fehlidentifikation des Infektionsfokus. Mortalität höher bei falscher Fokusdiagnose.</w:t>
      </w:r>
    </w:p>
    <w:p>
      <w:r>
        <w:rPr>
          <w:b/>
          <w:sz w:val="19"/>
        </w:rPr>
        <w:t xml:space="preserve">Übertragbarkeit: </w:t>
      </w:r>
      <w:r>
        <w:rPr>
          <w:sz w:val="19"/>
        </w:rPr>
        <w:t>Japan-Studie, aber Befund zur Source-Kontrol und Stewardship übertragbar auf deutsche Notaufnahmen.</w:t>
      </w:r>
    </w:p>
    <w:p>
      <w:r>
        <w:rPr>
          <w:color w:val="5A7D3A"/>
          <w:sz w:val="18"/>
        </w:rPr>
        <w:t>https://pubmed.ncbi.nlm.nih.gov/42798086/</w:t>
      </w:r>
    </w:p>
    <w:p>
      <w:pPr>
        <w:pStyle w:val="Heading2"/>
      </w:pPr>
      <w:r>
        <w:t>Bakterielle Kontamination von Skalpellen und Instrumenten: Schaden ohne Folgen im Operationssaal</w:t>
      </w:r>
    </w:p>
    <w:p>
      <w:r>
        <w:rPr>
          <w:i/>
          <w:color w:val="666666"/>
          <w:sz w:val="18"/>
        </w:rPr>
        <w:t>Liang GH et al.  ·  Medicine (Baltimore)  ·  25.09.2026  ·  PMID 42798037</w:t>
      </w:r>
    </w:p>
    <w:p>
      <w:r>
        <w:t>Prospektive Studie zur Häufigkeit und Art intraoperativer bakterieller Kontamination bei Gelenkersatzoperationen und deren Bezug zu postoperativen Infektionen.</w:t>
      </w:r>
    </w:p>
    <w:p>
      <w:r>
        <w:rPr>
          <w:b/>
        </w:rPr>
        <w:t xml:space="preserve">Ergebnis: </w:t>
      </w:r>
      <w:r>
        <w:t>13 von 127 Patienten (10,2%) hatten mindestens eine positive Bakterienkultur von OP-Instrumenten (Skalpell Inzision 5,9%, Kontrolle 1,7%). Kein Unterschied in Patientencharakteristika zwischen kontaminiert und nicht-kontaminiert. In 24–38 Monaten Follow-up: null postoperative Infektionen, null periprosthetische Gelenkinfektionen. Kontamination ≠ klinische Infektion.</w:t>
      </w:r>
    </w:p>
    <w:p>
      <w:r>
        <w:rPr>
          <w:b/>
          <w:sz w:val="19"/>
        </w:rPr>
        <w:t xml:space="preserve">Übertragbarkeit: </w:t>
      </w:r>
      <w:r>
        <w:rPr>
          <w:sz w:val="19"/>
        </w:rPr>
        <w:t>China-Studie, Standardhygiene vergleichbar mit deutschem System, Surveillance-Meldepflicht.</w:t>
      </w:r>
    </w:p>
    <w:p>
      <w:r>
        <w:rPr>
          <w:color w:val="5A7D3A"/>
          <w:sz w:val="18"/>
        </w:rPr>
        <w:t>https://pubmed.ncbi.nlm.nih.gov/42798037/</w:t>
      </w:r>
    </w:p>
    <w:p>
      <w:pPr>
        <w:pStyle w:val="Heading2"/>
      </w:pPr>
      <w:r>
        <w:t>Ralstonia-Ausbruch auf Neonatologie: Kontaminiertes Wasser als vermeidbarer Schaden</w:t>
      </w:r>
    </w:p>
    <w:p>
      <w:r>
        <w:rPr>
          <w:i/>
          <w:color w:val="666666"/>
          <w:sz w:val="18"/>
        </w:rPr>
        <w:t>Uygun SS et al.  ·  Pathogens  ·  08.09.2026  ·  PMID 42796721</w:t>
      </w:r>
    </w:p>
    <w:p>
      <w:r>
        <w:t>Ausbruchuntersuchung nosokomialer Ralstonia-pickettii-Infektionen bei Neugeborenen, deren Quelle kontaminiertes steriles destilliertes Wasser war.</w:t>
      </w:r>
    </w:p>
    <w:p>
      <w:r>
        <w:rPr>
          <w:b/>
        </w:rPr>
        <w:t xml:space="preserve">Ergebnis: </w:t>
      </w:r>
      <w:r>
        <w:t>9 infizierte Neugeborene über 22 Monate, Mortalität 44,4%, davon 11,1% direkt zurechenbar. Nach Wasserwechsel und Infektionskontrollmaßnahmen keine weiteren Fälle. AP-PCR bestätigte genetische Verwandtschaft klinischer und Umweltproben.</w:t>
      </w:r>
    </w:p>
    <w:p>
      <w:r>
        <w:rPr>
          <w:b/>
          <w:sz w:val="19"/>
        </w:rPr>
        <w:t xml:space="preserve">Übertragbarkeit: </w:t>
      </w:r>
      <w:r>
        <w:rPr>
          <w:sz w:val="19"/>
        </w:rPr>
        <w:t>Deutschland: Vergleichbares Hygienemanagementsystem, Infektionsschutzgesetz mit Ausbruchsmeldepflicht.</w:t>
      </w:r>
    </w:p>
    <w:p>
      <w:r>
        <w:rPr>
          <w:color w:val="5A7D3A"/>
          <w:sz w:val="18"/>
        </w:rPr>
        <w:t>https://pubmed.ncbi.nlm.nih.gov/42796721/</w:t>
      </w:r>
    </w:p>
    <w:p>
      <w:pPr>
        <w:pStyle w:val="Heading2"/>
      </w:pPr>
      <w:r>
        <w:t>Sicherheitskultur in der Infektionskontrolle: Editorial ohne Studiendaten</w:t>
      </w:r>
    </w:p>
    <w:p>
      <w:r>
        <w:rPr>
          <w:i/>
          <w:color w:val="666666"/>
          <w:sz w:val="18"/>
        </w:rPr>
        <w:t>Azoicăi D et al.  ·  Medicina (Kaunas)  ·  06.09.2026  ·  PMID 42796314</w:t>
      </w:r>
    </w:p>
    <w:p>
      <w:r>
        <w:t>Redaktioneller Kommentar zur WHO-Warnung vor Eskalation von Infektionsrisiken und Antimikrobielles Stewardship, ohne Studienergebnisse.</w:t>
      </w:r>
    </w:p>
    <w:p>
      <w:r>
        <w:rPr>
          <w:b/>
        </w:rPr>
        <w:t xml:space="preserve">Ergebnis: </w:t>
      </w:r>
      <w:r>
        <w:t>Keine konkreten Ergebnisse, nur Warnung vor neu auftretenden und erneut auftretenden Infektionskrankheiten.</w:t>
      </w:r>
    </w:p>
    <w:p>
      <w:r>
        <w:rPr>
          <w:b/>
          <w:sz w:val="19"/>
        </w:rPr>
        <w:t xml:space="preserve">Übertragbarkeit: </w:t>
      </w:r>
      <w:r>
        <w:rPr>
          <w:sz w:val="19"/>
        </w:rPr>
        <w:t>Nicht qualifizierend: Expertenpapier ohne benennbare Ergebnisse.</w:t>
      </w:r>
    </w:p>
    <w:p>
      <w:r>
        <w:rPr>
          <w:color w:val="5A7D3A"/>
          <w:sz w:val="18"/>
        </w:rPr>
        <w:t>https://pubmed.ncbi.nlm.nih.gov/42796314/</w:t>
      </w:r>
    </w:p>
    <w:p>
      <w:pPr>
        <w:pStyle w:val="Heading2"/>
      </w:pPr>
      <w:r>
        <w:t>Mundhygiene und Handwaschen bei Adoleszenten: Verhaltensunterschiede nach Geschlecht und Einkommen</w:t>
      </w:r>
    </w:p>
    <w:p>
      <w:r>
        <w:rPr>
          <w:i/>
          <w:color w:val="666666"/>
          <w:sz w:val="18"/>
        </w:rPr>
        <w:t>Huang Z et al.  ·  Front Public Health  ·  10.09.2026  ·  PMID 42787371</w:t>
      </w:r>
    </w:p>
    <w:p>
      <w:r>
        <w:t>Querschnittsstudie aus 72 Ländern mit 244.040 Schülern (Global School-based Student Health Survey 2010–2019): Unterschiede in Zahnpflege und Händewaschen nach Geschlecht, Alter, Region und Einkommensniveau.</w:t>
      </w:r>
    </w:p>
    <w:p>
      <w:r>
        <w:rPr>
          <w:b/>
        </w:rPr>
        <w:t xml:space="preserve">Ergebnis: </w:t>
      </w:r>
      <w:r>
        <w:t>Zähneputzen &lt;1×/Tag: 10,9% (95%-KI 10,0–11,8), ≥2×/Tag: 70,5%. Nie/selten Hände vor Essen waschen: 6,5%, nach Toilette: 5,5%, ohne Seife: 9,0%. Jungen schlechter (z.B. &lt;1×/Tag putzen: 13,1% vs. Mädchen 8,6%). Ostmittelmeerregion höchste Prävalenz unzureichenden Zähnebürstens (30,7%). Einkommungradient für Zähneputzen (arm 12,5% → reich 4,4%), nicht für Händewaschen.</w:t>
      </w:r>
    </w:p>
    <w:p>
      <w:r>
        <w:rPr>
          <w:b/>
          <w:sz w:val="19"/>
        </w:rPr>
        <w:t xml:space="preserve">Übertragbarkeit: </w:t>
      </w:r>
      <w:r>
        <w:rPr>
          <w:sz w:val="19"/>
        </w:rPr>
        <w:t>72-Länder-Daten, aber Hygiene-Outcomes nicht auf nosokominale Infektionen, Schaden oder Versorgungsfehler bezogen.</w:t>
      </w:r>
    </w:p>
    <w:p>
      <w:r>
        <w:rPr>
          <w:color w:val="5A7D3A"/>
          <w:sz w:val="18"/>
        </w:rPr>
        <w:t>https://pubmed.ncbi.nlm.nih.gov/42787371/</w:t>
      </w:r>
    </w:p>
    <w:p>
      <w:pPr>
        <w:pStyle w:val="Heading2"/>
      </w:pPr>
      <w:r>
        <w:t>TNF-α-Test für Sepsiserkennung in der Notaufnahme: niedriges Vorhersagevermögen bleibt unsicher</w:t>
      </w:r>
    </w:p>
    <w:p>
      <w:r>
        <w:rPr>
          <w:i/>
          <w:color w:val="666666"/>
          <w:sz w:val="18"/>
        </w:rPr>
        <w:t>Cisteró B et al.  ·  Front Immunol  ·  10.09.2026  ·  PMID 42787037</w:t>
      </w:r>
    </w:p>
    <w:p>
      <w:r>
        <w:t>Prospektive Kohortenstudie: Bluttests auf Lipopolysaccharid-induzierte TNF-α-Freisetzung bei Notaufnahmepatienten mit Verdacht auf Infektion zur frühen Sepsis-Erkennung.</w:t>
      </w:r>
    </w:p>
    <w:p>
      <w:r>
        <w:rPr>
          <w:b/>
        </w:rPr>
        <w:t xml:space="preserve">Ergebnis: </w:t>
      </w:r>
      <w:r>
        <w:t>203 Patienten, 142 mit Sepsis-3 in 24 h diagnostiziert. Negative Tests in 75% häufig. Test-Sensitivität 78,9% (95%-KI 71,4–84,8), Spezifität 39,5% (95%-KI 25,6–55,3) für Sepsis-3. Nach Anpassung für Alter und qSOFA: OR 2,94 (95%-KI 1,28–6,75, p=0,011). Autoren beurteilen Test als ergänzend, nicht eigenständig aussagekräftig.</w:t>
      </w:r>
    </w:p>
    <w:p>
      <w:r>
        <w:rPr>
          <w:b/>
          <w:sz w:val="19"/>
        </w:rPr>
        <w:t xml:space="preserve">Übertragbarkeit: </w:t>
      </w:r>
      <w:r>
        <w:rPr>
          <w:sz w:val="19"/>
        </w:rPr>
        <w:t>Spanien: Notaufnahme-Setting vergleichbar, aber externe Validierung ausstehend.</w:t>
      </w:r>
    </w:p>
    <w:p>
      <w:r>
        <w:rPr>
          <w:color w:val="5A7D3A"/>
          <w:sz w:val="18"/>
        </w:rPr>
        <w:t>https://pubmed.ncbi.nlm.nih.gov/42787037/</w:t>
      </w:r>
    </w:p>
    <w:p>
      <w:pPr>
        <w:pStyle w:val="Heading2"/>
      </w:pPr>
      <w:r>
        <w:t>Rotschimmel-Supplements: seltene Nebenwirkungen, aber niedriges Meldesystem</w:t>
      </w:r>
    </w:p>
    <w:p>
      <w:r>
        <w:rPr>
          <w:i/>
          <w:color w:val="666666"/>
          <w:sz w:val="18"/>
        </w:rPr>
        <w:t>Cicero AFG et al.  ·  Nutrients  ·  14.07.2026  ·  PMID 42514371</w:t>
      </w:r>
    </w:p>
    <w:p>
      <w:r>
        <w:t>Strukturiertes europäisches Spontan-Meldesystem für Nebenwirkungen von Nahrungsergänzungsmitteln aus Rotem Schimmel bei leichter bis mäßiger Hypercholesterinämie.</w:t>
      </w:r>
    </w:p>
    <w:p>
      <w:r>
        <w:rPr>
          <w:b/>
        </w:rPr>
        <w:t xml:space="preserve">Ergebnis: </w:t>
      </w:r>
      <w:r>
        <w:t>148 Nebenwirkungsberichte von 12 europäischen Ländern (2022–2024), geschätzte Exposition 608.815 Patientenzeiträume. Gastrointestinale Ereignisse 45,9%, Arthromyalgie 16,9%, Überempfindlichkeit 10,8%. Schwere/ernsthafte Ereignisse 0,7%/1,4%. Geschätztes exposure-adjustiertes Melderisiko: 0,02% für alle, 0,0003% für ernsthafte Nebenwirkungen.</w:t>
      </w:r>
    </w:p>
    <w:p>
      <w:r>
        <w:rPr>
          <w:b/>
          <w:sz w:val="19"/>
        </w:rPr>
        <w:t xml:space="preserve">Übertragbarkeit: </w:t>
      </w:r>
      <w:r>
        <w:rPr>
          <w:sz w:val="19"/>
        </w:rPr>
        <w:t>Deutschland/DACH: Italienische, europäische Daten aus vergleichbarem Supplement-Regulierungssystem.</w:t>
      </w:r>
    </w:p>
    <w:p>
      <w:r>
        <w:rPr>
          <w:color w:val="5A7D3A"/>
          <w:sz w:val="18"/>
        </w:rPr>
        <w:t>https://pubmed.ncbi.nlm.nih.gov/42514371/</w:t>
      </w:r>
    </w:p>
    <w:p>
      <w:pPr>
        <w:pStyle w:val="Heading1"/>
      </w:pPr>
      <w:r>
        <w:t>Aufgenommen am 27.09.2026</w:t>
      </w:r>
    </w:p>
    <w:p>
      <w:pPr>
        <w:pStyle w:val="Heading2"/>
      </w:pPr>
      <w:r>
        <w:t>Pflegeanfänger erkennen Medikationsfehler und Stürze, benötigen aber Kultur der psychologischen Sicherheit</w:t>
      </w:r>
    </w:p>
    <w:p>
      <w:r>
        <w:rPr>
          <w:i/>
          <w:color w:val="666666"/>
          <w:sz w:val="18"/>
        </w:rPr>
        <w:t>Kohanová D et al.  ·  Nurs Health Sci  ·  Dez. 2026  ·  PMID 42799319</w:t>
      </w:r>
    </w:p>
    <w:p>
      <w:r>
        <w:t>Qualitative Sekundäranalyse von 1.442 Studierenden aus vier Ländern (Tschechien, Italien, Slowakei, Türkei), die über Patientsicherheitsvorfälle während Klinischer Praktika berichteten.</w:t>
      </w:r>
    </w:p>
    <w:p>
      <w:r>
        <w:rPr>
          <w:b/>
        </w:rPr>
        <w:t xml:space="preserve">Ergebnis: </w:t>
      </w:r>
      <w:r>
        <w:t>287 Vorfallbeschreibungen analysiert; am häufigsten: Medikationsfehler und Patientenstürze, gefolgt von Infektionsprävention, Kommunikationsfehler, unzureichende Betreuung. Studierende benannten multifaktoriale Ursachen (Patient, Kontext, Organisation, Mensch). Empfehlungen: strukturierte Debriefings, klare Meldekanäle, psychologisch sichere, nicht-punitiv gestaltete Lernumgebungen.</w:t>
      </w:r>
    </w:p>
    <w:p>
      <w:r>
        <w:rPr>
          <w:b/>
          <w:sz w:val="19"/>
        </w:rPr>
        <w:t xml:space="preserve">Übertragbarkeit: </w:t>
      </w:r>
      <w:r>
        <w:rPr>
          <w:sz w:val="19"/>
        </w:rPr>
        <w:t>Mitteleuropa und Südosteuropa, ähnliche Ausbildungsstrukturen</w:t>
      </w:r>
    </w:p>
    <w:p>
      <w:r>
        <w:rPr>
          <w:color w:val="5A7D3A"/>
          <w:sz w:val="18"/>
        </w:rPr>
        <w:t>https://pubmed.ncbi.nlm.nih.gov/42799319/</w:t>
      </w:r>
    </w:p>
    <w:p>
      <w:pPr>
        <w:pStyle w:val="Heading2"/>
      </w:pPr>
      <w:r>
        <w:t>Unangemessene Medikationen bei Älteren in der Primärversorgung: Häufigkeit und Risikofaktoren</w:t>
      </w:r>
    </w:p>
    <w:p>
      <w:r>
        <w:rPr>
          <w:i/>
          <w:color w:val="666666"/>
          <w:sz w:val="18"/>
        </w:rPr>
        <w:t>Paraschiv M et al.  ·  Medicina (Kaunas)  ·  20.09.2026  ·  PMID 42796419</w:t>
      </w:r>
    </w:p>
    <w:p>
      <w:r>
        <w:t>Retrospektive Beobachtungsstudie an 100 Patienten ≥65 Jahren in einer rumänischen Hausarztpraxis, die potenziell unangemessene Medikationen (PIM) nach vier etablierten Kriterien (STOPP v3, Beers, EU(7)-PIM, PRISCUS v2) identifizierte.</w:t>
      </w:r>
    </w:p>
    <w:p>
      <w:r>
        <w:rPr>
          <w:b/>
        </w:rPr>
        <w:t xml:space="preserve">Ergebnis: </w:t>
      </w:r>
      <w:r>
        <w:t>Mindestens eine PIM fanden sich bei 73% (STOPP), 62% (Beers), 60% (EU(7)-PIM) und 53% (PRISCUS) der Patienten. STOPP identifizierte signifikant mehr PIMs als die anderen Kriterien (p&lt;0,001). Medikamentenlast war in adjustierten Analysen der konsistenteste Risikofaktor für alle Kriterien.</w:t>
      </w:r>
    </w:p>
    <w:p>
      <w:r>
        <w:rPr>
          <w:b/>
          <w:sz w:val="19"/>
        </w:rPr>
        <w:t xml:space="preserve">Übertragbarkeit: </w:t>
      </w:r>
      <w:r>
        <w:rPr>
          <w:sz w:val="19"/>
        </w:rPr>
        <w:t>Rumänische Primärversorgung, ähnliche Versicherungssysteme wie Deutschland</w:t>
      </w:r>
    </w:p>
    <w:p>
      <w:r>
        <w:rPr>
          <w:color w:val="5A7D3A"/>
          <w:sz w:val="18"/>
        </w:rPr>
        <w:t>https://pubmed.ncbi.nlm.nih.gov/42796419/</w:t>
      </w:r>
    </w:p>
    <w:p>
      <w:pPr>
        <w:pStyle w:val="Heading2"/>
      </w:pPr>
      <w:r>
        <w:t>Antimikrobielles Stewardship senkt MRSA und multiresistente Enterobakterien</w:t>
      </w:r>
    </w:p>
    <w:p>
      <w:r>
        <w:rPr>
          <w:i/>
          <w:color w:val="666666"/>
          <w:sz w:val="18"/>
        </w:rPr>
        <w:t>Grindean A et al.  ·  Medicina (Kaunas)  ·  11.09.2026  ·  PMID 42796362</w:t>
      </w:r>
    </w:p>
    <w:p>
      <w:r>
        <w:t>Retrospektive Langzeitstudie 2023–2025 eines rumänischen Krankenhauses, die Auswirkungen erhöhter mikrobiologischer Testung und gezieltem Stewardship auf Antibiotikaresistenzen untersuchte.</w:t>
      </w:r>
    </w:p>
    <w:p>
      <w:r>
        <w:rPr>
          <w:b/>
        </w:rPr>
        <w:t xml:space="preserve">Ergebnis: </w:t>
      </w:r>
      <w:r>
        <w:t>E.-coli-MDR sank von 7,4% (Sem. II 2023) auf 0,0% (Sem. II 2025); S.-aureus-MRSA+MLSB von 30,6% auf 0,0%. Mikrobiologische Testintensität stieg von 18,05% auf 28,20%. Durchschnittliche Liegedauer bei Infektionen 15,35 Tage, auf chirurgischen Stationen 20,80 Tage.</w:t>
      </w:r>
    </w:p>
    <w:p>
      <w:r>
        <w:rPr>
          <w:b/>
          <w:sz w:val="19"/>
        </w:rPr>
        <w:t xml:space="preserve">Übertragbarkeit: </w:t>
      </w:r>
      <w:r>
        <w:rPr>
          <w:sz w:val="19"/>
        </w:rPr>
        <w:t>Europäisches Krankenhaus, vergleichbare Hygiene- und Qualitätsziele</w:t>
      </w:r>
    </w:p>
    <w:p>
      <w:r>
        <w:rPr>
          <w:color w:val="5A7D3A"/>
          <w:sz w:val="18"/>
        </w:rPr>
        <w:t>https://pubmed.ncbi.nlm.nih.gov/42796362/</w:t>
      </w:r>
    </w:p>
    <w:p>
      <w:pPr>
        <w:pStyle w:val="Heading2"/>
      </w:pPr>
      <w:r>
        <w:t>Interklinischer Transport bei Neugeborenen-Sepsis: Versorgungskette unterbrochen, Forschung fehlt</w:t>
      </w:r>
    </w:p>
    <w:p>
      <w:r>
        <w:rPr>
          <w:i/>
          <w:color w:val="666666"/>
          <w:sz w:val="18"/>
        </w:rPr>
        <w:t>Damian RO et al.  ·  Medicina (Kaunas)  ·  11.09.2026  ·  PMID 42796359</w:t>
      </w:r>
    </w:p>
    <w:p>
      <w:r>
        <w:t>Scoping Review (39 Quellen, 2020–2026) zu Variablen, Interventionen und Organisationspraktiken beim interklinischen Neugeborenen-Transport im Kontext von Sepsis-Früherkennung und -Behandlung.</w:t>
      </w:r>
    </w:p>
    <w:p>
      <w:r>
        <w:rPr>
          <w:b/>
        </w:rPr>
        <w:t xml:space="preserve">Ergebnis: </w:t>
      </w:r>
      <w:r>
        <w:t>24 indirekt-klinische, 7 indirekt-organisatorische, 4 indirekt-technische, 1 indirekt-experienzielle und 3 direkt-prozess/indirekt-sepsis-Ergebnis-Quellen. Keine Studie zeigte, dass eine Transport-Intervention unabhängig Sepsis-Ergebnisse verbessert. Antimikrobielles Timing, Kulturen, Perfusionsverlauf und strukturierte Handover unterrepräsentiert.</w:t>
      </w:r>
    </w:p>
    <w:p>
      <w:r>
        <w:rPr>
          <w:b/>
          <w:sz w:val="19"/>
        </w:rPr>
        <w:t xml:space="preserve">Übertragbarkeit: </w:t>
      </w:r>
      <w:r>
        <w:rPr>
          <w:sz w:val="19"/>
        </w:rPr>
        <w:t>Mehrere europäische Länder eingeschlossen, Organisationslücke übertragbar auf Deutschland</w:t>
      </w:r>
    </w:p>
    <w:p>
      <w:r>
        <w:rPr>
          <w:color w:val="5A7D3A"/>
          <w:sz w:val="18"/>
        </w:rPr>
        <w:t>https://pubmed.ncbi.nlm.nih.gov/42796359/</w:t>
      </w:r>
    </w:p>
    <w:p>
      <w:pPr>
        <w:pStyle w:val="Heading2"/>
      </w:pPr>
      <w:r>
        <w:t>Patientensicherheits-Screening vor bildgebenden Verfahren: Papierformulare dominieren, Standardisierung fehlt</w:t>
      </w:r>
    </w:p>
    <w:p>
      <w:r>
        <w:rPr>
          <w:i/>
          <w:color w:val="666666"/>
          <w:sz w:val="18"/>
        </w:rPr>
        <w:t>Mallinson MA et al.  ·  J Eval Clin Pract  ·  Sept. 2026  ·  PMID 42788779</w:t>
      </w:r>
    </w:p>
    <w:p>
      <w:r>
        <w:t>Freiheitsinformation-Anfrage an 129 englische NHS-Krankenhäuser und private Anbieter zur Nutzung und Gestaltung von Sicherheits-Screening-Formularen vor Diagnostischer Bildgebung.</w:t>
      </w:r>
    </w:p>
    <w:p>
      <w:r>
        <w:rPr>
          <w:b/>
        </w:rPr>
        <w:t xml:space="preserve">Ergebnis: </w:t>
      </w:r>
      <w:r>
        <w:t>Rücklaufquote 83,2%; 91,3% der NHS-Organisationen antworteten. 55,8% beantworteten innerhalb der erwarteten 20 Arbeitstage. Die Mehrheit nutzt Papierformulare; nur eine Organisation setzte vollständig auf digitale Formulare. Erhebliche Inkonsistenzen in Design und Interpretation berichtet.</w:t>
      </w:r>
    </w:p>
    <w:p>
      <w:r>
        <w:rPr>
          <w:b/>
          <w:sz w:val="19"/>
        </w:rPr>
        <w:t xml:space="preserve">Übertragbarkeit: </w:t>
      </w:r>
      <w:r>
        <w:rPr>
          <w:sz w:val="19"/>
        </w:rPr>
        <w:t>Großbritannien (NHS), andere Versorgungsstrukturen, aber vergleichbare Sicherheitsprobleme</w:t>
      </w:r>
    </w:p>
    <w:p>
      <w:r>
        <w:rPr>
          <w:color w:val="5A7D3A"/>
          <w:sz w:val="18"/>
        </w:rPr>
        <w:t>https://pubmed.ncbi.nlm.nih.gov/42788779/</w:t>
      </w:r>
    </w:p>
    <w:p>
      <w:pPr>
        <w:pStyle w:val="Heading2"/>
      </w:pPr>
      <w:r>
        <w:t>Sepsis-Vorhersagemodell LiSep LSTM funktioniert in Europa wie in USA, aber Kalibrierung erforderlich</w:t>
      </w:r>
    </w:p>
    <w:p>
      <w:r>
        <w:rPr>
          <w:i/>
          <w:color w:val="666666"/>
          <w:sz w:val="18"/>
        </w:rPr>
        <w:t>Tan HK et al.  ·  Sci Rep  ·  10.09.2026  ·  PMID 42722695</w:t>
      </w:r>
    </w:p>
    <w:p>
      <w:r>
        <w:t>Validierungsstudie eines Tiefenlern-Modells (LiSep LSTM) zur frühen Vorhersage septischen Schocks, trainiert an US-Daten (MIMIC-III), getestet an europäischer Kohorte (Amsterdam UMC).</w:t>
      </w:r>
    </w:p>
    <w:p>
      <w:r>
        <w:rPr>
          <w:b/>
        </w:rPr>
        <w:t xml:space="preserve">Ergebnis: </w:t>
      </w:r>
      <w:r>
        <w:t>Auf AUMC-Kohorte: AUROC 0,8851 (95%-KI 0,8612–0,909) mit Medianen 47,0 h vor Symptombeginn. Externe Validierung zeigte reduzierte Kalibrierung und Rückruf; gepooltes Training verbesserte AUROC und Brier-Score. Genauigkeit 0,60–0,77, Präzision niedrig (0,01–0,17) aufgrund hoher Falsch-Positive.</w:t>
      </w:r>
    </w:p>
    <w:p>
      <w:r>
        <w:rPr>
          <w:b/>
          <w:sz w:val="19"/>
        </w:rPr>
        <w:t xml:space="preserve">Übertragbarkeit: </w:t>
      </w:r>
      <w:r>
        <w:rPr>
          <w:sz w:val="19"/>
        </w:rPr>
        <w:t>USA und Niederlande, externe Validierung ist übertragbar, Lokalanpassung notwendig</w:t>
      </w:r>
    </w:p>
    <w:p>
      <w:r>
        <w:rPr>
          <w:color w:val="5A7D3A"/>
          <w:sz w:val="18"/>
        </w:rPr>
        <w:t>https://pubmed.ncbi.nlm.nih.gov/42722695/</w:t>
      </w:r>
    </w:p>
    <w:p>
      <w:pPr>
        <w:pStyle w:val="Heading1"/>
      </w:pPr>
      <w:r>
        <w:t>Aufgenommen am 26.09.2026</w:t>
      </w:r>
    </w:p>
    <w:p>
      <w:pPr>
        <w:pStyle w:val="Heading2"/>
      </w:pPr>
      <w:r>
        <w:t>Glow-Licht-Audit verbessserte Händehygiene-Qualität im NICU um 87 % - von 19,7 % auf 37 % Fehlerfreiheit</w:t>
      </w:r>
    </w:p>
    <w:p>
      <w:r>
        <w:rPr>
          <w:i/>
          <w:color w:val="666666"/>
          <w:sz w:val="18"/>
        </w:rPr>
        <w:t>Chubey R et al.  ·  Neonatal Netw  ·  01.09.2026  ·  PMID 42791024</w:t>
      </w:r>
    </w:p>
    <w:p>
      <w:r>
        <w:t>Quality-Improvement-Projekt (PDSA-Zyklen) in kanadischem NICU: Audit der Händehygiene-Qualität mit Glow-Lotion und UV-Licht zur visuellen Rückmeldung über unvollständige Waschstellen; Messung bei Eintritt aller Fachpersonen.</w:t>
      </w:r>
    </w:p>
    <w:p>
      <w:r>
        <w:rPr>
          <w:b/>
        </w:rPr>
        <w:t xml:space="preserve">Ergebnis: </w:t>
      </w:r>
      <w:r>
        <w:t>Anteil der Teilnehmer ohne Glow-Areale (Indikator perfekter Händehygiene) erhöht von 19,7 % auf 37 %. Anteil mit &gt;2 fehlgewaschenen Zonen sank von 39,6 % auf 20,7 %. Hinweis: Trotz Verbesserung zeigten einige Mitarbeiter noch mindestens eine Glow-Zone, unterstreicht Notwendigkeit kontinuierlicher Audits. Autoren fordern multidisziplinäre Edukation und regelmäßige Audits.</w:t>
      </w:r>
    </w:p>
    <w:p>
      <w:r>
        <w:rPr>
          <w:b/>
          <w:sz w:val="19"/>
        </w:rPr>
        <w:t xml:space="preserve">Übertragbarkeit: </w:t>
      </w:r>
      <w:r>
        <w:rPr>
          <w:sz w:val="19"/>
        </w:rPr>
        <w:t>Kanada, NICU-Setting; direkt übertragbar auf deutsche Intensivstationen mit verfügbarer Glow-Technologie</w:t>
      </w:r>
    </w:p>
    <w:p>
      <w:r>
        <w:rPr>
          <w:color w:val="5A7D3A"/>
          <w:sz w:val="18"/>
        </w:rPr>
        <w:t>https://pubmed.ncbi.nlm.nih.gov/42791024/</w:t>
      </w:r>
    </w:p>
    <w:p>
      <w:pPr>
        <w:pStyle w:val="Heading2"/>
      </w:pPr>
      <w:r>
        <w:t>Katheter-assoziierte Harnwegsinfektionen auf Intensivstationen erhöhten Verweildauer, nicht direkt die Sterblichkeit</w:t>
      </w:r>
    </w:p>
    <w:p>
      <w:r>
        <w:rPr>
          <w:i/>
          <w:color w:val="666666"/>
          <w:sz w:val="18"/>
        </w:rPr>
        <w:t>Bartoszewicz M et al.  ·  PLoS One  ·  25.09.2026  ·  PMID 42789543</w:t>
      </w:r>
    </w:p>
    <w:p>
      <w:r>
        <w:t>Retrospektive Kohortenstudie in Polen (2017-2023) an 3.231 ICU-Aufnahmen zur Charakterisierung bakterieller Katheter-assoziierter Harnwegsinfektionen (CAUTI) und deren Assoziation mit Patientencharakteristika und Mortalität.</w:t>
      </w:r>
    </w:p>
    <w:p>
      <w:r>
        <w:rPr>
          <w:b/>
        </w:rPr>
        <w:t xml:space="preserve">Ergebnis: </w:t>
      </w:r>
      <w:r>
        <w:t>CAUTI trat in 301 Patienten auf (9,3%; 95%-KI 8,4-10,4%). ICU-Verweildauer/Katheter-Exposition CAUTI 28,3 vs. 13,6 Tage (Differenz 14,8 Tage; 95%-KI 11,7-17,8). Mortalität 49,2% (CAUTI) vs. 45,9% (keine CAUTI); nach Adjustment für Aufnahmecharakteristika war CAUTI nicht mit Tod assoziiert (OR 0,95; 95%-KI 0,75-1,22). Unabhängige Risikofaktoren: weibliches Geschlecht (OR 1,48), Adipositas (OR 1,62), COVID-19 (OR 2,16). 66,4% der Isolate zeigten Resistenzphänotypen.</w:t>
      </w:r>
    </w:p>
    <w:p>
      <w:r>
        <w:rPr>
          <w:b/>
          <w:sz w:val="19"/>
        </w:rPr>
        <w:t xml:space="preserve">Übertragbarkeit: </w:t>
      </w:r>
      <w:r>
        <w:rPr>
          <w:sz w:val="19"/>
        </w:rPr>
        <w:t>Polen, europäisches Gesundheitssystem mit ICU-Standards ähnlich Deutschland</w:t>
      </w:r>
    </w:p>
    <w:p>
      <w:r>
        <w:rPr>
          <w:color w:val="5A7D3A"/>
          <w:sz w:val="18"/>
        </w:rPr>
        <w:t>https://pubmed.ncbi.nlm.nih.gov/42789543/</w:t>
      </w:r>
    </w:p>
    <w:p>
      <w:pPr>
        <w:pStyle w:val="Heading2"/>
      </w:pPr>
      <w:r>
        <w:t>Reserve-Antibiotika-Stewardship senkten unangemessene Anwendungen bei Kindern um ein Drittel</w:t>
      </w:r>
    </w:p>
    <w:p>
      <w:r>
        <w:rPr>
          <w:i/>
          <w:color w:val="666666"/>
          <w:sz w:val="18"/>
        </w:rPr>
        <w:t>Echávarri de Miguel M et al.  ·  Eur J Pediatr  ·  25.09.2026  ·  PMID 42789114</w:t>
      </w:r>
    </w:p>
    <w:p>
      <w:r>
        <w:t>Retrospektive Studie zu WHO-Reserve-Antibiotika (Ceftazidim-Avibactam, Ceftolozane-Tazobactam, Cefiderocol u.a.) in einer pädiatrischen Universitätsklinik; nach Implementierung eines strukturierten Stewardship-Programms mit Formularbeschränkung und elektronischen Verschreibungstools wurden Indikationen überprüft.</w:t>
      </w:r>
    </w:p>
    <w:p>
      <w:r>
        <w:rPr>
          <w:b/>
        </w:rPr>
        <w:t xml:space="preserve">Ergebnis: </w:t>
      </w:r>
      <w:r>
        <w:t>96 Behandlungsepisoden analysiert. Cefiderocol und Ceftazidim-Avibactam zeigten hohe Übereinstimmung mit Resistenzkriterien; Ceftolozane-Tazobactam und Ceftaroline wurden häufiger empirisch eingesetzt. Nach Stewardship-Implementierung (formulary restriction, elektronische Prescribing-Safeguards, WHO-AWaRe-Integration) verbesserte sich die Indikationsstellung und klinische Governance.</w:t>
      </w:r>
    </w:p>
    <w:p>
      <w:r>
        <w:rPr>
          <w:b/>
          <w:sz w:val="19"/>
        </w:rPr>
        <w:t xml:space="preserve">Übertragbarkeit: </w:t>
      </w:r>
      <w:r>
        <w:rPr>
          <w:sz w:val="19"/>
        </w:rPr>
        <w:t>Spanien; vergleichbar mit deutschen Universitätskliniken und Stewardship-Vorgaben</w:t>
      </w:r>
    </w:p>
    <w:p>
      <w:r>
        <w:rPr>
          <w:color w:val="5A7D3A"/>
          <w:sz w:val="18"/>
        </w:rPr>
        <w:t>https://pubmed.ncbi.nlm.nih.gov/42789114/</w:t>
      </w:r>
    </w:p>
    <w:p>
      <w:pPr>
        <w:pStyle w:val="Heading2"/>
      </w:pPr>
      <w:r>
        <w:t>Aufmerksamkeit auf Sepsiszeichen ist Schlüssel zur frühzeitigen Diagnose - Framework für Kliniker und Organisationen</w:t>
      </w:r>
    </w:p>
    <w:p>
      <w:r>
        <w:rPr>
          <w:i/>
          <w:color w:val="666666"/>
          <w:sz w:val="18"/>
        </w:rPr>
        <w:t>Birken SA et al.  ·  Crit Care Explor  ·  01.10.2026  ·  PMID 42788993</w:t>
      </w:r>
    </w:p>
    <w:p>
      <w:r>
        <w:t>Qualitative Observationsstudie (41 Interviews an 20 US-Krankenhäusern mit System-, Abteilungs- und Kliniker-Ebenen-Akteuren) zur Entwicklung und Validierung des SepsisDx-Frameworks für genaue, zeitnahe Sepsisdiagnose.</w:t>
      </w:r>
    </w:p>
    <w:p>
      <w:r>
        <w:rPr>
          <w:b/>
        </w:rPr>
        <w:t xml:space="preserve">Ergebnis: </w:t>
      </w:r>
      <w:r>
        <w:t>SepsisDx-Framework bestätigt zentrale These: Sepsisdiagnose wird durch Wechselwirkung von Mikro-, Meso- und Makroebenen beeinflusst. Wichtigste Faktor auf Individualebene: Aufmerksamkeit (noticing, encoding, interpreting, focusing time/effort). Aufmerksamkeit reduziert durch mehrdeutige klinische Präsentationen und Schocks (z.B. COVID-19). Organisatorische Strategien (Audit und Feedback) erhöhten Organisations-Aufmerksamkeit, reduzierten aber Provider-Aufmerksamkeit; Effektivität moderiert durch Personalausstattung. Framework klärt Mechanismen und informiert Interventions-Design.</w:t>
      </w:r>
    </w:p>
    <w:p>
      <w:r>
        <w:rPr>
          <w:b/>
          <w:sz w:val="19"/>
        </w:rPr>
        <w:t xml:space="preserve">Übertragbarkeit: </w:t>
      </w:r>
      <w:r>
        <w:rPr>
          <w:sz w:val="19"/>
        </w:rPr>
        <w:t>USA, Gedankenmodell translabel auf Deutschland; Validierung in europäischen Systemen erforderlich</w:t>
      </w:r>
    </w:p>
    <w:p>
      <w:r>
        <w:rPr>
          <w:color w:val="5A7D3A"/>
          <w:sz w:val="18"/>
        </w:rPr>
        <w:t>https://pubmed.ncbi.nlm.nih.gov/42788993/</w:t>
      </w:r>
    </w:p>
    <w:p>
      <w:pPr>
        <w:pStyle w:val="Heading2"/>
      </w:pPr>
      <w:r>
        <w:t>Kliniker in Bangladesch unterstützen Antibiotic-Stewardship, scheitern aber an Umsetzung ohne Systeme</w:t>
      </w:r>
    </w:p>
    <w:p>
      <w:r>
        <w:rPr>
          <w:i/>
          <w:color w:val="666666"/>
          <w:sz w:val="18"/>
        </w:rPr>
        <w:t>Amin MA et al.  ·  J Biosoc Sci  ·  25.09.2026  ·  PMID 42788376</w:t>
      </w:r>
    </w:p>
    <w:p>
      <w:r>
        <w:t>Qualitative Interviewstudie (18 Kliniker, 36 Betreuer) an drei Krankenhäusern in Bangladesch zu Wissensstand und Perspektiven auf Antibiotic Stewardship bei Diarrhö bei Kindern unter fünf Jahren.</w:t>
      </w:r>
    </w:p>
    <w:p>
      <w:r>
        <w:rPr>
          <w:b/>
        </w:rPr>
        <w:t xml:space="preserve">Ergebnis: </w:t>
      </w:r>
      <w:r>
        <w:t>Wenige Kliniker kannten Begriff 'Antibiotic Stewardship', aber die meisten verstanden Kernprinzipien und unterstützten sie. Betreuer waren überwiegend unfamiliar damit. Kliniker beschrieben informale Stewardship-Bemühungen, aber Abwesenheit strukturierter Programme. Schlüssel-Barrieren: Community-Anbieter ohne Regulierung, Personalengpässe, Betreuer-Erwartungen für Antibiotika, Druck, Familien-Wünsche zu erfüllen. Forderung nach facility- und community-basiertem Ansatz mit Entscheidungs-Unterstützung, Antibiotika-Audits, Community-Edukation.</w:t>
      </w:r>
    </w:p>
    <w:p>
      <w:r>
        <w:rPr>
          <w:b/>
          <w:sz w:val="19"/>
        </w:rPr>
        <w:t xml:space="preserve">Übertragbarkeit: </w:t>
      </w:r>
      <w:r>
        <w:rPr>
          <w:sz w:val="19"/>
        </w:rPr>
        <w:t>Bangladesch (Low-Resource-Setting); Befunde zu Stewardship-Barrieren relevant für deutsche Diskussion bei Migration und vulnerablen Populationen</w:t>
      </w:r>
    </w:p>
    <w:p>
      <w:r>
        <w:rPr>
          <w:color w:val="5A7D3A"/>
          <w:sz w:val="18"/>
        </w:rPr>
        <w:t>https://pubmed.ncbi.nlm.nih.gov/42788376/</w:t>
      </w:r>
    </w:p>
    <w:p>
      <w:pPr>
        <w:pStyle w:val="Heading2"/>
      </w:pPr>
      <w:r>
        <w:t>MDRO-Infektionen nach Magen-Darm-Chirurgie kosteten durchschnittlich 21.000 Euro extra pro Patient</w:t>
      </w:r>
    </w:p>
    <w:p>
      <w:r>
        <w:rPr>
          <w:i/>
          <w:color w:val="666666"/>
          <w:sz w:val="18"/>
        </w:rPr>
        <w:t>Yan P et al.  ·  Front Public Health  ·  10.09.2026  ·  PMID 42787113</w:t>
      </w:r>
    </w:p>
    <w:p>
      <w:r>
        <w:t>Retrospektive Kohortenstudie in China an 100 Patienten mit postoperativen Infektionen nach Magen-Darm-Chirurgie; Vergleich multiresistenter Organismen (MDRO, n=41) mit nicht-MDRO (n=59) bezüglich Kostenfolgen und ICU-Aufenthaltszeiten.</w:t>
      </w:r>
    </w:p>
    <w:p>
      <w:r>
        <w:rPr>
          <w:b/>
        </w:rPr>
        <w:t xml:space="preserve">Ergebnis: </w:t>
      </w:r>
      <w:r>
        <w:t>Gesamtkrankenhauskosten MDRO: Median 85.913 CNY vs. nicht-MDRO 64.747 CNY (p&lt;0,05); Inkrementalkosten ΔC 95%-KI: 18.405-78.031 CNY (~2.200-9.400 Euro); ICU-Verweildauer MDRO median 2 Tage vs. 0 Tage (p&lt;0,001); Antibiotika-Therapiedauer 25 vs. 23 Tage (p=0,017); Krankenhausverweildauer 35 vs. 29 Tage (p=0,030). Labordiagnostik, nichtchirurgische Behandlung und diagnostische Verfahren waren Hauptkostentreiber.</w:t>
      </w:r>
    </w:p>
    <w:p>
      <w:r>
        <w:rPr>
          <w:b/>
          <w:sz w:val="19"/>
        </w:rPr>
        <w:t xml:space="preserve">Übertragbarkeit: </w:t>
      </w:r>
      <w:r>
        <w:rPr>
          <w:sz w:val="19"/>
        </w:rPr>
        <w:t>China, vergleichbare chirurgische Patientenpopulation; Kostenergebnisse nicht 1:1 auf Deutschland übertragbar</w:t>
      </w:r>
    </w:p>
    <w:p>
      <w:r>
        <w:rPr>
          <w:color w:val="5A7D3A"/>
          <w:sz w:val="18"/>
        </w:rPr>
        <w:t>https://pubmed.ncbi.nlm.nih.gov/42787113/</w:t>
      </w:r>
    </w:p>
    <w:p>
      <w:pPr>
        <w:pStyle w:val="Heading2"/>
      </w:pPr>
      <w:r>
        <w:t>Kommunikationslücken und Personalüberlastung verursachen vermeidbare Schäden in Pflegeheimen</w:t>
      </w:r>
    </w:p>
    <w:p>
      <w:r>
        <w:rPr>
          <w:i/>
          <w:color w:val="666666"/>
          <w:sz w:val="18"/>
        </w:rPr>
        <w:t>Mowat R et al.  ·  N Z Med J  ·  25.09.2026  ·  PMID 42784820</w:t>
      </w:r>
    </w:p>
    <w:p>
      <w:r>
        <w:t>Qualitative Fallstudie nach Yin (24 HDC-Fälle 2007-2021) zu menschlichen Fehlerfaktoren in neuseeländischen Altenheimen; thematische Analyse der von der Health &amp; Disability Commission untersuchten Beschwerde-Muster.</w:t>
      </w:r>
    </w:p>
    <w:p>
      <w:r>
        <w:rPr>
          <w:b/>
        </w:rPr>
        <w:t xml:space="preserve">Ergebnis: </w:t>
      </w:r>
      <w:r>
        <w:t>Vier rekurrente Themen: (1) Kommunikationslücken, (2) Dokumentationsmängel, (3) Inkonsistenzen zwischen Richtlinie und Praxis, (4) Personalknappheit und unzureichende Fachkompetenz. Autoren empfehlen systemischen Ansatz (Systems Engineering Initiative for Patient Safety) statt Individuen-Fokus zu Harm-Prevention.</w:t>
      </w:r>
    </w:p>
    <w:p>
      <w:r>
        <w:rPr>
          <w:b/>
          <w:sz w:val="19"/>
        </w:rPr>
        <w:t xml:space="preserve">Übertragbarkeit: </w:t>
      </w:r>
      <w:r>
        <w:rPr>
          <w:sz w:val="19"/>
        </w:rPr>
        <w:t>Neuseeland, ähnliches Gesundheitssystem wie Australien; relevante Befunde für deutsches Qualitätsmanagement</w:t>
      </w:r>
    </w:p>
    <w:p>
      <w:r>
        <w:rPr>
          <w:color w:val="5A7D3A"/>
          <w:sz w:val="18"/>
        </w:rPr>
        <w:t>https://pubmed.ncbi.nlm.nih.gov/42784820/</w:t>
      </w:r>
    </w:p>
    <w:p>
      <w:pPr>
        <w:pStyle w:val="Heading1"/>
      </w:pPr>
      <w:r>
        <w:t>Aufgenommen am 25.09.2026</w:t>
      </w:r>
    </w:p>
    <w:p>
      <w:pPr>
        <w:pStyle w:val="Heading2"/>
      </w:pPr>
      <w:r>
        <w:t>Klinische Phenotypen der neonatalen Sepsis zeigen bessere Sterblichkeits­vorhersage als WHO-Leitlinie</w:t>
      </w:r>
    </w:p>
    <w:p>
      <w:r>
        <w:rPr>
          <w:i/>
          <w:color w:val="666666"/>
          <w:sz w:val="18"/>
        </w:rPr>
        <w:t>Tuti T et al.  ·  PLoS One  ·  24.09.2026  ·  PMID 42784586</w:t>
      </w:r>
    </w:p>
    <w:p>
      <w:r>
        <w:t>Latent-Class-Analyse von Zeichen möglicher schwerer bakterieller Infektion (pSBI) bei Neugeborenen in 21 kenianischen Kliniken zur Identifikation von Sepsis-Clustern und Sterblichkeitsrisiko-Stratifizierung.</w:t>
      </w:r>
    </w:p>
    <w:p>
      <w:r>
        <w:rPr>
          <w:b/>
        </w:rPr>
        <w:t xml:space="preserve">Ergebnis: </w:t>
      </w:r>
      <w:r>
        <w:t>Fünf Cluster mit minimalem bis kritischem Sterblichkeitsrisiko wurden identifiziert. Modell-Diskrimination (AUROC 0,867 vs. WHO 0,721; Unterschied 0,146) und Kalibrierung übertroffen WHO-Klassifikation. Externe Validierung an 13 zusätzlichen Kliniken mit Accuracy 83,16 %, PPV 81,02 %.</w:t>
      </w:r>
    </w:p>
    <w:p>
      <w:r>
        <w:rPr>
          <w:b/>
          <w:sz w:val="19"/>
        </w:rPr>
        <w:t xml:space="preserve">Übertragbarkeit: </w:t>
      </w:r>
      <w:r>
        <w:rPr>
          <w:sz w:val="19"/>
        </w:rPr>
        <w:t>Kenia; ressourcenbegrenzte Umgebung, aber generalisierbare Risiko-Stratifikation ohne teure Tests</w:t>
      </w:r>
    </w:p>
    <w:p>
      <w:r>
        <w:rPr>
          <w:color w:val="5A7D3A"/>
          <w:sz w:val="18"/>
        </w:rPr>
        <w:t>https://pubmed.ncbi.nlm.nih.gov/42784586/</w:t>
      </w:r>
    </w:p>
    <w:p>
      <w:pPr>
        <w:pStyle w:val="Heading2"/>
      </w:pPr>
      <w:r>
        <w:t>Postoperative Infektionen nach Kolonkarzinom-OP senken Langzeitüberleben um 18 Prozentpunkte</w:t>
      </w:r>
    </w:p>
    <w:p>
      <w:r>
        <w:rPr>
          <w:i/>
          <w:color w:val="666666"/>
          <w:sz w:val="18"/>
        </w:rPr>
        <w:t>Lee J et al.  ·  BJS Open  ·  04.09.2026  ·  PMID 42782000</w:t>
      </w:r>
    </w:p>
    <w:p>
      <w:r>
        <w:t>Sekundäranalyse einer randomisierten Studie mit 161 Patienten, Langzeitfolge-up median 57 Monate, zur Assoziation postoperativer Infektionen mit Krankheits- und Gesamtüberleben nach elektiver Kolonkarzinom-Chirurgie.</w:t>
      </w:r>
    </w:p>
    <w:p>
      <w:r>
        <w:rPr>
          <w:b/>
        </w:rPr>
        <w:t xml:space="preserve">Ergebnis: </w:t>
      </w:r>
      <w:r>
        <w:t>5-Jahres-Gesamtüberleben bei Patienten mit postoperativen Infektionen 74 % gegenüber 92 % ohne Infektionen (p = 0,013; Differenz 18 Prozentpunkte). In Multivarianz-Analyse: Infektionen erhöhten Sterblichkeitsrisiko unabhängig (HR 4,14; p = 0,007). Trend zu schlechterer Krankheitsfreiheit (71 % vs. 86 %; p = 0,065).</w:t>
      </w:r>
    </w:p>
    <w:p>
      <w:r>
        <w:rPr>
          <w:b/>
          <w:sz w:val="19"/>
        </w:rPr>
        <w:t xml:space="preserve">Übertragbarkeit: </w:t>
      </w:r>
      <w:r>
        <w:rPr>
          <w:sz w:val="19"/>
        </w:rPr>
        <w:t>Südkorea, vergleichbares Chirurgie-Setting und Follow-up-Struktur wie Deutschland</w:t>
      </w:r>
    </w:p>
    <w:p>
      <w:r>
        <w:rPr>
          <w:color w:val="5A7D3A"/>
          <w:sz w:val="18"/>
        </w:rPr>
        <w:t>https://pubmed.ncbi.nlm.nih.gov/42782000/</w:t>
      </w:r>
    </w:p>
    <w:p>
      <w:pPr>
        <w:pStyle w:val="Heading2"/>
      </w:pPr>
      <w:r>
        <w:t>Fünfjahresergebnisse: Fehlermeldungen in einer italienischen Gesundheitsbehörde zeigen System-Schwachstellen</w:t>
      </w:r>
    </w:p>
    <w:p>
      <w:r>
        <w:rPr>
          <w:i/>
          <w:color w:val="666666"/>
          <w:sz w:val="18"/>
        </w:rPr>
        <w:t>Amato S et al.  ·  Ig Sanita Pubbl  ·  Juli 2026  ·  PMID 42776155</w:t>
      </w:r>
    </w:p>
    <w:p>
      <w:r>
        <w:t>Analyse von 5 Jahren eingegangener Fehlermeldungen in einer italienischen ASL (Lokale Gesundheitsbehörde) mit Fokus auf Typ, Klassifikation und eingeleitete Korrektivmaßnahmen.</w:t>
      </w:r>
    </w:p>
    <w:p>
      <w:r>
        <w:rPr>
          <w:b/>
        </w:rPr>
        <w:t xml:space="preserve">Ergebnis: </w:t>
      </w:r>
      <w:r>
        <w:t>Detaillierte Erfassung der Häufigkeit und Struktur der Meldungen wurde durchgeführt; die Studie legt dar, wie Meldungen verarbeitet und Maßnahmen eingeleitet wurden. Ohne Angabe einzelner Häufigkeiten oder Verbesserungen von Behandlungsergebnissen konnte die Funktionsfähigkeit der Meldesysteme beschrieben, aber nicht in vermiedenen Schäden gemessen werden.</w:t>
      </w:r>
    </w:p>
    <w:p>
      <w:r>
        <w:rPr>
          <w:b/>
          <w:sz w:val="19"/>
        </w:rPr>
        <w:t xml:space="preserve">Übertragbarkeit: </w:t>
      </w:r>
      <w:r>
        <w:rPr>
          <w:sz w:val="19"/>
        </w:rPr>
        <w:t>Italien, öffentliches Gesundheitssystem; weniger regulatorische Trennung von ambulant/stationär als Deutschland</w:t>
      </w:r>
    </w:p>
    <w:p>
      <w:r>
        <w:rPr>
          <w:color w:val="5A7D3A"/>
          <w:sz w:val="18"/>
        </w:rPr>
        <w:t>https://pubmed.ncbi.nlm.nih.gov/42776155/</w:t>
      </w:r>
    </w:p>
    <w:p>
      <w:pPr>
        <w:pStyle w:val="Heading2"/>
      </w:pPr>
      <w:r>
        <w:t>Digital informierte Antibiotic-Stewardship-Ausbildung erhöht Fachkompetenz um 30 bis 50 Prozent</w:t>
      </w:r>
    </w:p>
    <w:p>
      <w:r>
        <w:rPr>
          <w:i/>
          <w:color w:val="666666"/>
          <w:sz w:val="18"/>
        </w:rPr>
        <w:t>Kusuma IY et al.  ·  J Am Coll Clin Pharm  ·  Okt. 2026  ·  PMID 42773335</w:t>
      </w:r>
    </w:p>
    <w:p>
      <w:r>
        <w:t>Geclusterte Stepped-Wedge-Studie mit 268 Pharmaziestudierenden zum Effekt eines multikomponentigen, theory-informed Digital Antimicrobial Stewardship Education Intervention (DASEI) auf Wissen, Klinisches Denken, Wahrnehmung und Einstellung.</w:t>
      </w:r>
    </w:p>
    <w:p>
      <w:r>
        <w:rPr>
          <w:b/>
        </w:rPr>
        <w:t xml:space="preserve">Ergebnis: </w:t>
      </w:r>
      <w:r>
        <w:t>Antibiotikakenntnis stieg von 16,08 auf 20,96 Punkte (Zunahme 4,88, 30,3 %); Fallbearbeitungs-Scores von 3,46 auf 5,01 (Zunahme 1,55, 44,8 %); Wahrnehmung von 3,82 auf 4,04; Einstellung von 3,70 auf 4,10. Mixed-effects-Analyse zeigte signifikante Interventionseffekte (p &lt; 0,05) mit Verbesserungen über alle Zeitpunkte.</w:t>
      </w:r>
    </w:p>
    <w:p>
      <w:r>
        <w:rPr>
          <w:b/>
          <w:sz w:val="19"/>
        </w:rPr>
        <w:t xml:space="preserve">Übertragbarkeit: </w:t>
      </w:r>
      <w:r>
        <w:rPr>
          <w:sz w:val="19"/>
        </w:rPr>
        <w:t>Indonesien; anwendbar in Ländern mit begrenzter Ressourcen-Ausstattung von Aus- und Fortbildung</w:t>
      </w:r>
    </w:p>
    <w:p>
      <w:r>
        <w:rPr>
          <w:color w:val="5A7D3A"/>
          <w:sz w:val="18"/>
        </w:rPr>
        <w:t>https://pubmed.ncbi.nlm.nih.gov/42773335/</w:t>
      </w:r>
    </w:p>
    <w:p>
      <w:pPr>
        <w:pStyle w:val="Heading2"/>
      </w:pPr>
      <w:r>
        <w:t>Strukturiertes Prompting verbessert Fehler­erkennung in Radiologie-Berichten um 6 bis 8 Prozentpunkte</w:t>
      </w:r>
    </w:p>
    <w:p>
      <w:r>
        <w:rPr>
          <w:i/>
          <w:color w:val="666666"/>
          <w:sz w:val="18"/>
        </w:rPr>
        <w:t>Li J et al.  ·  Eur Radiol Exp  ·  22.09.2026  ·  PMID 42771118</w:t>
      </w:r>
    </w:p>
    <w:p>
      <w:r>
        <w:t>Entwicklung und Evaluierung von RadCoT, einem strukturierten Prompting-Framework für große Sprachmodelle, zur Fehlerkennung in Radiologie-Berichten an Hand von 1.200 klinisch validierten Fällen.</w:t>
      </w:r>
    </w:p>
    <w:p>
      <w:r>
        <w:rPr>
          <w:b/>
        </w:rPr>
        <w:t xml:space="preserve">Ergebnis: </w:t>
      </w:r>
      <w:r>
        <w:t>RadCoT erhöhte die mittlere F1-Metrik von 0,77 auf 0,85 (p = 0,003) über alle Modelle hinweg; Interpretation Fehler verbesserten sich von F1 = 0,57 auf 0,75. GPT-4o mit RadCoT erreichte F1 = 0,93; Llama-3.3-70B mit RadCoT (F1 = 0,89) schloss die Lücke zu kommerziellen Modellen.</w:t>
      </w:r>
    </w:p>
    <w:p>
      <w:r>
        <w:rPr>
          <w:b/>
          <w:sz w:val="19"/>
        </w:rPr>
        <w:t xml:space="preserve">Übertragbarkeit: </w:t>
      </w:r>
      <w:r>
        <w:rPr>
          <w:sz w:val="19"/>
        </w:rPr>
        <w:t>China (Beijing); digitale QS-Anwendung, limitierte direkte Übertragung ohne lokale Validierung</w:t>
      </w:r>
    </w:p>
    <w:p>
      <w:r>
        <w:rPr>
          <w:color w:val="5A7D3A"/>
          <w:sz w:val="18"/>
        </w:rPr>
        <w:t>https://pubmed.ncbi.nlm.nih.gov/42771118/</w:t>
      </w:r>
    </w:p>
    <w:p>
      <w:pPr>
        <w:pStyle w:val="Heading2"/>
      </w:pPr>
      <w:r>
        <w:t>Psychosoziale Arbeitsrisiken treffen Männer und Handwerk stärker – Andalusischer Composite-Index zeigt Unterschiede</w:t>
      </w:r>
    </w:p>
    <w:p>
      <w:r>
        <w:rPr>
          <w:i/>
          <w:color w:val="666666"/>
          <w:sz w:val="18"/>
        </w:rPr>
        <w:t>De Las Heras-Rosas C et al.  ·  J Safety Res  ·  17.07.2026  ·  PMID 42744481</w:t>
      </w:r>
    </w:p>
    <w:p>
      <w:r>
        <w:t>Analyse des II. Andalusischen Arbeitsbedingungs-Survey mit Konstruktion eines Composite-Indikators für psychosoziale Risiken (ACIPR) zur Messung von Unterschieden bei Exposition nach Geschlecht, Firmengröße und Sektor.</w:t>
      </w:r>
    </w:p>
    <w:p>
      <w:r>
        <w:rPr>
          <w:b/>
        </w:rPr>
        <w:t xml:space="preserve">Ergebnis: </w:t>
      </w:r>
      <w:r>
        <w:t>Höhere psychosoziale Risiken bei Männern; Bauwirtschaft zeigte höchstes Risiko; mittlere Firmengrößen hatten niedrigstes Risiko. Unterschiede waren nach Multivariate-Analyse statistisch signifikant nachweisbar.</w:t>
      </w:r>
    </w:p>
    <w:p>
      <w:r>
        <w:rPr>
          <w:b/>
          <w:sz w:val="19"/>
        </w:rPr>
        <w:t xml:space="preserve">Übertragbarkeit: </w:t>
      </w:r>
      <w:r>
        <w:rPr>
          <w:sz w:val="19"/>
        </w:rPr>
        <w:t>Spanien; vergleichbare Arbeitsschutzgesetzgebung, aber andere Branchenstruktur</w:t>
      </w:r>
    </w:p>
    <w:p>
      <w:r>
        <w:rPr>
          <w:color w:val="5A7D3A"/>
          <w:sz w:val="18"/>
        </w:rPr>
        <w:t>https://pubmed.ncbi.nlm.nih.gov/42744481/</w:t>
      </w:r>
    </w:p>
    <w:p>
      <w:pPr>
        <w:pStyle w:val="Heading1"/>
      </w:pPr>
      <w:r>
        <w:t>Aufgenommen am 24.09.2026</w:t>
      </w:r>
    </w:p>
    <w:p>
      <w:pPr>
        <w:pStyle w:val="Heading2"/>
      </w:pPr>
      <w:r>
        <w:t>Probiotika senkten schwere Morbidität bei sehr unreifen Neugeborenen um Zwei Drittel</w:t>
      </w:r>
    </w:p>
    <w:p>
      <w:r>
        <w:rPr>
          <w:i/>
          <w:color w:val="666666"/>
          <w:sz w:val="18"/>
        </w:rPr>
        <w:t>Mitha A et al.  ·  JAMA Netw Open  ·  01.09.2026  ·  PMID 42776528</w:t>
      </w:r>
    </w:p>
    <w:p>
      <w:r>
        <w:t>Analyse von 4.695 sehr unreifen Neugeborenen (28–31+6 Wochen) aus dem schwedischen Qualitätsregister: Vergleich von Multistrainprobiotika (Bifidobacterium infantis, B. lactis, Streptococcus thermophilus) versus Kontrolle.</w:t>
      </w:r>
    </w:p>
    <w:p>
      <w:r>
        <w:rPr>
          <w:b/>
        </w:rPr>
        <w:t xml:space="preserve">Ergebnis: </w:t>
      </w:r>
      <w:r>
        <w:t>Probiotika senkten das zusammengesetzte Ergebnis Tod oder nekrotisierende Enterokolitis von 3,4 % auf 0,8 % (adjustiertes relatives Risiko 0,28; 95%-KI 0,14–0,56). Tod allein sank von 1,4 % auf 0,3 % (aRR 0,16; 95%-KI 0,06–0,45), Enterocolitis von 2,5 % auf 0,6 % (aRR 0,25; 95%-KI 0,10–0,61). Sepsis wurde nicht beeinflusst.</w:t>
      </w:r>
    </w:p>
    <w:p>
      <w:r>
        <w:rPr>
          <w:b/>
          <w:sz w:val="19"/>
        </w:rPr>
        <w:t xml:space="preserve">Übertragbarkeit: </w:t>
      </w:r>
      <w:r>
        <w:rPr>
          <w:sz w:val="19"/>
        </w:rPr>
        <w:t>Schweden, Population-based Register, Kausalitätsfrage dennoch offen bei neuer Empfehlung (2020).</w:t>
      </w:r>
    </w:p>
    <w:p>
      <w:r>
        <w:rPr>
          <w:color w:val="5A7D3A"/>
          <w:sz w:val="18"/>
        </w:rPr>
        <w:t>https://pubmed.ncbi.nlm.nih.gov/42776528/</w:t>
      </w:r>
    </w:p>
    <w:p>
      <w:pPr>
        <w:pStyle w:val="Heading2"/>
      </w:pPr>
      <w:r>
        <w:t>Stevens-Johnson-Syndrom: Kortikosteroide bevorzugt, aber Behandlungspraxis heterogen auch bei Experten</w:t>
      </w:r>
    </w:p>
    <w:p>
      <w:r>
        <w:rPr>
          <w:i/>
          <w:color w:val="666666"/>
          <w:sz w:val="18"/>
        </w:rPr>
        <w:t>Preclaro IA et al.  ·  Acta Derm Venereol  ·  23.09.2026  ·  PMID 42775869</w:t>
      </w:r>
    </w:p>
    <w:p>
      <w:r>
        <w:t>Querschnitts-Umfrage von 48 philippinischen Dermatologen zu Management von SJS/TEN mittels 6 standardisierter klinischer Szenarien; Weighted Scores, Friedman-Tests.</w:t>
      </w:r>
    </w:p>
    <w:p>
      <w:r>
        <w:rPr>
          <w:b/>
        </w:rPr>
        <w:t xml:space="preserve">Ergebnis: </w:t>
      </w:r>
      <w:r>
        <w:t>Kortikosteroide von 85,4 % verwendet; 35,4 % behandelten selektive Fälle mit supportiver Pflege allein. Signifikante Unterschiede in Therapie-Rankings über alle Szenarien (p&lt;0,001). Übereinstimmung groß für einfache, klein für komplexe Fälle (W=0,516 vs. W=0,236). Heterogenität auch unter Experten für komplexe Fälle.</w:t>
      </w:r>
    </w:p>
    <w:p>
      <w:r>
        <w:rPr>
          <w:b/>
          <w:sz w:val="19"/>
        </w:rPr>
        <w:t xml:space="preserve">Übertragbarkeit: </w:t>
      </w:r>
      <w:r>
        <w:rPr>
          <w:sz w:val="19"/>
        </w:rPr>
        <w:t>Philippinen, ressourcenlimitiertes Setting, Befund zur therapeutischen Unsicherheit breit anwendbar.</w:t>
      </w:r>
    </w:p>
    <w:p>
      <w:r>
        <w:rPr>
          <w:color w:val="5A7D3A"/>
          <w:sz w:val="18"/>
        </w:rPr>
        <w:t>https://pubmed.ncbi.nlm.nih.gov/42775869/</w:t>
      </w:r>
    </w:p>
    <w:p>
      <w:pPr>
        <w:pStyle w:val="Heading2"/>
      </w:pPr>
      <w:r>
        <w:t>Händehygiene-Adhärenz von Fachkräften 23 % unter Selbsteinschätzung; Wissen allein verbessert Verhalten nicht</w:t>
      </w:r>
    </w:p>
    <w:p>
      <w:r>
        <w:rPr>
          <w:i/>
          <w:color w:val="666666"/>
          <w:sz w:val="18"/>
        </w:rPr>
        <w:t>Nykvist G et al.  ·  Front Public Health  ·  08.09.2026  ·  PMID 42774319</w:t>
      </w:r>
    </w:p>
    <w:p>
      <w:r>
        <w:t>Querschnittsstudie mit strukturierter Beobachtung, Wissenstest und Fragebogen bei 69 Fachkräften (Pflegekräfte, Ärzte, Assistenten) einer schwedischen Infektionsabteilung über vier Wochen.</w:t>
      </w:r>
    </w:p>
    <w:p>
      <w:r>
        <w:rPr>
          <w:b/>
        </w:rPr>
        <w:t xml:space="preserve">Ergebnis: </w:t>
      </w:r>
      <w:r>
        <w:t>Beobachtete Adhärenz zu Hygiene-Routinen: 76,4 % (±20,2). Selbsteinschätzung aber 92,1 % (±3,3). Wissensmedian 90,9 % (IQR 81,8–97,7); Pflegekräfte signifikant höher als Ärzte. Keine signifikante Korrelation zwischen Wissen und beobachtetem Verhalten. Organisationskultur, nicht Wissen, ist kritisch.</w:t>
      </w:r>
    </w:p>
    <w:p>
      <w:r>
        <w:rPr>
          <w:b/>
          <w:sz w:val="19"/>
        </w:rPr>
        <w:t xml:space="preserve">Übertragbarkeit: </w:t>
      </w:r>
      <w:r>
        <w:rPr>
          <w:sz w:val="19"/>
        </w:rPr>
        <w:t>Schweden, vergleichbare Infektionsprävention, Befund zur Diskrepanz zwischen Wissen und Tun universal.</w:t>
      </w:r>
    </w:p>
    <w:p>
      <w:r>
        <w:rPr>
          <w:color w:val="5A7D3A"/>
          <w:sz w:val="18"/>
        </w:rPr>
        <w:t>https://pubmed.ncbi.nlm.nih.gov/42774319/</w:t>
      </w:r>
    </w:p>
    <w:p>
      <w:pPr>
        <w:pStyle w:val="Heading2"/>
      </w:pPr>
      <w:r>
        <w:t>Medikationsfehler bei Kindern: Vorbereitung/Applikation 68 % aller Fehler mit doppeltem Schwererisiko</w:t>
      </w:r>
    </w:p>
    <w:p>
      <w:r>
        <w:rPr>
          <w:i/>
          <w:color w:val="666666"/>
          <w:sz w:val="18"/>
        </w:rPr>
        <w:t>Hirano D et al.  ·  Eur J Pediatr  ·  23.09.2026  ·  PMID 42773260</w:t>
      </w:r>
    </w:p>
    <w:p>
      <w:r>
        <w:t>Nationale retrospektive Analyse von 546 pädiatrischen Medikationsincidenten aus 12 Jahren (2013–2024) der japanischen Meldedatenbank; Schweregrad ≥3b bei 32,6 %.</w:t>
      </w:r>
    </w:p>
    <w:p>
      <w:r>
        <w:rPr>
          <w:b/>
        </w:rPr>
        <w:t xml:space="preserve">Ergebnis: </w:t>
      </w:r>
      <w:r>
        <w:t>Fehler in Vorbereitung und Applikation (nicht Verschreibung): 67,9 % aller Incidents; diese waren mit höherer Schwere assoziiert (aPR 2,03; 95%-KI 1,38–2,98). Extravasation in 35 Fällen: 82,9 % schwer. Ärzte-Fehler schwerwiegender als Pflege-Fehler (aPR 0,55; 95%-KI 0,42–0,72).</w:t>
      </w:r>
    </w:p>
    <w:p>
      <w:r>
        <w:rPr>
          <w:b/>
          <w:sz w:val="19"/>
        </w:rPr>
        <w:t xml:space="preserve">Übertragbarkeit: </w:t>
      </w:r>
      <w:r>
        <w:rPr>
          <w:sz w:val="19"/>
        </w:rPr>
        <w:t>Japan, Meldedatenbank national, Struktur ähnlich deutschen Qualitätsmeldesystemen.</w:t>
      </w:r>
    </w:p>
    <w:p>
      <w:r>
        <w:rPr>
          <w:color w:val="5A7D3A"/>
          <w:sz w:val="18"/>
        </w:rPr>
        <w:t>https://pubmed.ncbi.nlm.nih.gov/42773260/</w:t>
      </w:r>
    </w:p>
    <w:p>
      <w:pPr>
        <w:pStyle w:val="Heading2"/>
      </w:pPr>
      <w:r>
        <w:t>Niedriger Blutdruck (≤100 mmHg) in ersten 48 h verschlechtert Sepsis-AKI-Prognose: Mortalität verdoppelt bis verdreifacht</w:t>
      </w:r>
    </w:p>
    <w:p>
      <w:r>
        <w:rPr>
          <w:i/>
          <w:color w:val="666666"/>
          <w:sz w:val="18"/>
        </w:rPr>
        <w:t>Sriwalosakul T et al.  ·  Ann Med  ·  22.09.2026  ·  PMID 42768944</w:t>
      </w:r>
    </w:p>
    <w:p>
      <w:r>
        <w:t>Retrospektive Einzelzenter-Kohorte von 476 nicht-kritischen Patienten mit Sepsis-assoziierter akuter Nierenschädigung (2011–2020); mittlerer systolischer Druck in den ersten 48 h kategorisiert.</w:t>
      </w:r>
    </w:p>
    <w:p>
      <w:r>
        <w:rPr>
          <w:b/>
        </w:rPr>
        <w:t xml:space="preserve">Ergebnis: </w:t>
      </w:r>
      <w:r>
        <w:t>Mittlerer systolischer Druck ≤100 mmHg: 80 % erreichten primäres Composite (25 %-GFR-Abfall oder Dialyse oder 1-Jahres-Mortalität) vs. 46–51 % bei höheren Drücken (p&lt;0,001). Angepasste 1-Jahres-Mortalität: HR 2,89 (95%-KI 1,68–4,99); 30-Tage-Mortalität HR 2,79 (95%-KI 1,12–6,96).</w:t>
      </w:r>
    </w:p>
    <w:p>
      <w:r>
        <w:rPr>
          <w:b/>
          <w:sz w:val="19"/>
        </w:rPr>
        <w:t xml:space="preserve">Übertragbarkeit: </w:t>
      </w:r>
      <w:r>
        <w:rPr>
          <w:sz w:val="19"/>
        </w:rPr>
        <w:t>Thailand, Einzelzenter, Blutdruck-Prognostik für Sepsis international vergleichbar.</w:t>
      </w:r>
    </w:p>
    <w:p>
      <w:r>
        <w:rPr>
          <w:color w:val="5A7D3A"/>
          <w:sz w:val="18"/>
        </w:rPr>
        <w:t>https://pubmed.ncbi.nlm.nih.gov/42768944/</w:t>
      </w:r>
    </w:p>
    <w:p>
      <w:pPr>
        <w:pStyle w:val="Heading2"/>
      </w:pPr>
      <w:r>
        <w:t>Ernährungsindex und Inflammation treffen Sepsismortalität besser als SOFA-Score allein</w:t>
      </w:r>
    </w:p>
    <w:p>
      <w:r>
        <w:rPr>
          <w:i/>
          <w:color w:val="666666"/>
          <w:sz w:val="18"/>
        </w:rPr>
        <w:t>Zhang L et al.  ·  BMC Infect Dis  ·  12.08.2026  ·  PMID 42768332</w:t>
      </w:r>
    </w:p>
    <w:p>
      <w:r>
        <w:t>Retrospektive Kohorte: 149 Klinikkranke und 200 MIMIC-IV-Patienten mit Sepsis; Kaplan-Meier, Cox-Regression; Prognoseernährungsindex (PNI) und Neapel-Prognose-Score (NPS).</w:t>
      </w:r>
    </w:p>
    <w:p>
      <w:r>
        <w:rPr>
          <w:b/>
        </w:rPr>
        <w:t xml:space="preserve">Ergebnis: </w:t>
      </w:r>
      <w:r>
        <w:t>Niedrige PNI (&lt;32,1) und hohe NPS unabhängig mit 28-Tage-Mortalität assoziiert. Kombiniertes ROC-Modell (PNI+NPS): AUC 0,805 (klinische Kohorte) und 0,806 (MIMIC). Vorhersagekraft besser als SOFA allein. Kalibrierungskurven zeigten hohe Übereinstimmung.</w:t>
      </w:r>
    </w:p>
    <w:p>
      <w:r>
        <w:rPr>
          <w:b/>
          <w:sz w:val="19"/>
        </w:rPr>
        <w:t xml:space="preserve">Übertragbarkeit: </w:t>
      </w:r>
      <w:r>
        <w:rPr>
          <w:sz w:val="19"/>
        </w:rPr>
        <w:t>China/USA-Datensätze, validiert in zwei unabhängigen Kohorten, Marker international verfügbar.</w:t>
      </w:r>
    </w:p>
    <w:p>
      <w:r>
        <w:rPr>
          <w:color w:val="5A7D3A"/>
          <w:sz w:val="18"/>
        </w:rPr>
        <w:t>https://pubmed.ncbi.nlm.nih.gov/42768332/</w:t>
      </w:r>
    </w:p>
    <w:p>
      <w:pPr>
        <w:pStyle w:val="Heading1"/>
      </w:pPr>
      <w:r>
        <w:t>Aufgenommen am 23.09.2026</w:t>
      </w:r>
    </w:p>
    <w:p>
      <w:pPr>
        <w:pStyle w:val="Heading2"/>
      </w:pPr>
      <w:r>
        <w:t>Antibiotic Stewardship: Unterschiede zwischen Hausärzten, Zahnärzten und Infektiologen in Belgien</w:t>
      </w:r>
    </w:p>
    <w:p>
      <w:r>
        <w:rPr>
          <w:i/>
          <w:color w:val="666666"/>
          <w:sz w:val="18"/>
        </w:rPr>
        <w:t>Mann C et al.  ·  Fam Pract  ·  31.07.2026  ·  PMID 42770645</w:t>
      </w:r>
    </w:p>
    <w:p>
      <w:r>
        <w:t>Querschnittsbefragung von 260 belgischen Akteuren (104 Hausärzte, 103 Zahnärzte, 53 Infektiologen) zu Wahrnehmungen und Verhalten bei Antibiotikaresistenz und unangemessener Verschreibung.</w:t>
      </w:r>
    </w:p>
    <w:p>
      <w:r>
        <w:rPr>
          <w:b/>
        </w:rPr>
        <w:t xml:space="preserve">Ergebnis: </w:t>
      </w:r>
      <w:r>
        <w:t>Etwa 50% der Fachleute gaben unangemessene Verschreibung zu; Haupttreiber waren Präventionssorgen und Komplikationsfurcht. Interdisziplinäre Zusammenarbeit und Bildung wurden als Schlüssellösungen identifiziert; deutliche Wissenslücken zur Antibiotic Stewardship bleiben trotz hohen AMR-Bewusstseins.</w:t>
      </w:r>
    </w:p>
    <w:p>
      <w:r>
        <w:rPr>
          <w:b/>
          <w:sz w:val="19"/>
        </w:rPr>
        <w:t xml:space="preserve">Übertragbarkeit: </w:t>
      </w:r>
      <w:r>
        <w:rPr>
          <w:sz w:val="19"/>
        </w:rPr>
        <w:t>Belgien, vergleichbares europäisches Versicherungs- und Gesundheitssystem.</w:t>
      </w:r>
    </w:p>
    <w:p>
      <w:r>
        <w:rPr>
          <w:color w:val="5A7D3A"/>
          <w:sz w:val="18"/>
        </w:rPr>
        <w:t>https://pubmed.ncbi.nlm.nih.gov/42770645/</w:t>
      </w:r>
    </w:p>
    <w:p>
      <w:pPr>
        <w:pStyle w:val="Heading2"/>
      </w:pPr>
      <w:r>
        <w:t>Gesichtsmasken bei invasiven Eingriffen verhindern postoperative Infektionen nicht</w:t>
      </w:r>
    </w:p>
    <w:p>
      <w:r>
        <w:rPr>
          <w:i/>
          <w:color w:val="666666"/>
          <w:sz w:val="18"/>
        </w:rPr>
        <w:t>Steen K et al.  ·  Tidsskr Nor Laegeforen  ·  22.09.2026  ·  PMID 42770419</w:t>
      </w:r>
    </w:p>
    <w:p>
      <w:r>
        <w:t>Systematische Übersichtsarbeit zu 9 Studien über Nutzen von Mund-Nasen-Schutz bei invasiven chirurgischen Verfahren zur Vermeidung postoperativer Infektionen.</w:t>
      </w:r>
    </w:p>
    <w:p>
      <w:r>
        <w:rPr>
          <w:b/>
        </w:rPr>
        <w:t xml:space="preserve">Ergebnis: </w:t>
      </w:r>
      <w:r>
        <w:t>Acht von neun Studien, darunter die zwei methodisch hochwertigsten, zeigten keinen signifikanten Unterschied in Infektionsraten mit versus ohne Masken; Unterschiede zwischen Gruppen: 1,2% und 3,5%; eine Studie fand höhere Infektionsrate mit Masken – insgesamt unzureichende hochwertige Evidenz.</w:t>
      </w:r>
    </w:p>
    <w:p>
      <w:r>
        <w:rPr>
          <w:b/>
          <w:sz w:val="19"/>
        </w:rPr>
        <w:t xml:space="preserve">Übertragbarkeit: </w:t>
      </w:r>
      <w:r>
        <w:rPr>
          <w:sz w:val="19"/>
        </w:rPr>
        <w:t>Norwegen, Evidenz vom Operationssaal übertragbar auf deutsche Hygienepraxis.</w:t>
      </w:r>
    </w:p>
    <w:p>
      <w:r>
        <w:rPr>
          <w:color w:val="5A7D3A"/>
          <w:sz w:val="18"/>
        </w:rPr>
        <w:t>https://pubmed.ncbi.nlm.nih.gov/42770419/</w:t>
      </w:r>
    </w:p>
    <w:p>
      <w:pPr>
        <w:pStyle w:val="Heading2"/>
      </w:pPr>
      <w:r>
        <w:t>Händehygiene-Monitoring: ethische Lösungen bei klinischer Anwendung</w:t>
      </w:r>
    </w:p>
    <w:p>
      <w:r>
        <w:rPr>
          <w:i/>
          <w:color w:val="666666"/>
          <w:sz w:val="18"/>
        </w:rPr>
        <w:t>Russow F et al.  ·  BMC Med Ethics  ·  22.09.2026  ·  PMID 42768345</w:t>
      </w:r>
    </w:p>
    <w:p>
      <w:r>
        <w:t>Interdisziplinäre Analyse ethischer Konflikte bei automatisiertem Monitoring von Händehygiene im Krankenhaus, mit Fallstudie aus Deutschland (Stralsund).</w:t>
      </w:r>
    </w:p>
    <w:p>
      <w:r>
        <w:rPr>
          <w:b/>
        </w:rPr>
        <w:t xml:space="preserve">Ergebnis: </w:t>
      </w:r>
      <w:r>
        <w:t>Optimierte Implementierungsstrategien minimieren ethische Spannungen zwischen Patientensicherheit und akzeptabler Arbeitsumgebung; partizipative Systementwicklung mit Personal und transparente, nicht-punitive Nutzung kollektiver Daten erhöhen Nutzerakzeptanz und Hygiene-Compliance.</w:t>
      </w:r>
    </w:p>
    <w:p>
      <w:r>
        <w:rPr>
          <w:b/>
          <w:sz w:val="19"/>
        </w:rPr>
        <w:t xml:space="preserve">Übertragbarkeit: </w:t>
      </w:r>
      <w:r>
        <w:rPr>
          <w:sz w:val="19"/>
        </w:rPr>
        <w:t>Deutschland, direkte Anwendung auf deutsche Kliniken und Hygiene-Anforderungen.</w:t>
      </w:r>
    </w:p>
    <w:p>
      <w:r>
        <w:rPr>
          <w:color w:val="5A7D3A"/>
          <w:sz w:val="18"/>
        </w:rPr>
        <w:t>https://pubmed.ncbi.nlm.nih.gov/42768345/</w:t>
      </w:r>
    </w:p>
    <w:p>
      <w:pPr>
        <w:pStyle w:val="Heading2"/>
      </w:pPr>
      <w:r>
        <w:t>Ernährungsinflammation kombiniert mit Naples-Score vorhersagt Sepsis-Sterblichkeit besser</w:t>
      </w:r>
    </w:p>
    <w:p>
      <w:r>
        <w:rPr>
          <w:i/>
          <w:color w:val="666666"/>
          <w:sz w:val="18"/>
        </w:rPr>
        <w:t>Ye Y et al.  ·  BMC Infect Dis  ·  03.08.2026  ·  PMID 42768322</w:t>
      </w:r>
    </w:p>
    <w:p>
      <w:r>
        <w:t>Retrospektive Studie mit 149 klinischen Patienten und 200 aus MIMIC-IV-Datenbank zur Vorhersage der 28-Tage-Sterblichkeit bei Sepsis mittels Prognostics Nutrition Index (PNI) und Naples Prognostic Score (NPS).</w:t>
      </w:r>
    </w:p>
    <w:p>
      <w:r>
        <w:rPr>
          <w:b/>
        </w:rPr>
        <w:t xml:space="preserve">Ergebnis: </w:t>
      </w:r>
      <w:r>
        <w:t>Niedriger PNI (&lt;32,1) und hoher NPS waren unabhängige Prädiktoren für 28-Tage-Sterblichkeit; kombiniertes Modell (PNI + NPS) zeigte AUC 0,805 (klinische Kohorte) und 0,806 (MIMIC), mit guter Kalibrierung (Hosmer-Lemeshow p&gt;0,05) – überlegenes Vorhersageverhalten.</w:t>
      </w:r>
    </w:p>
    <w:p>
      <w:r>
        <w:rPr>
          <w:b/>
          <w:sz w:val="19"/>
        </w:rPr>
        <w:t xml:space="preserve">Übertragbarkeit: </w:t>
      </w:r>
      <w:r>
        <w:rPr>
          <w:sz w:val="19"/>
        </w:rPr>
        <w:t>China und USA, prognostische Marker-Kombination unabhängig von Gesundheitssystem übertragbar.</w:t>
      </w:r>
    </w:p>
    <w:p>
      <w:r>
        <w:rPr>
          <w:color w:val="5A7D3A"/>
          <w:sz w:val="18"/>
        </w:rPr>
        <w:t>https://pubmed.ncbi.nlm.nih.gov/42768322/</w:t>
      </w:r>
    </w:p>
    <w:p>
      <w:pPr>
        <w:pStyle w:val="Heading2"/>
      </w:pPr>
      <w:r>
        <w:t>Tobramycin-resistenter S. aureus in Neonatalintensivstation: Hygiene und Antibiotikaregime beendeten Ausbruch</w:t>
      </w:r>
    </w:p>
    <w:p>
      <w:r>
        <w:rPr>
          <w:i/>
          <w:color w:val="666666"/>
          <w:sz w:val="18"/>
        </w:rPr>
        <w:t>Jogenfors A et al.  ·  BMC Infect Dis  ·  18.09.2026  ·  PMID 42768321</w:t>
      </w:r>
    </w:p>
    <w:p>
      <w:r>
        <w:t>Zehnjähriger Ausbruch mit resistentem Staphylococcus aureus in schwedischer Neugeborenen-Intensivstation; Interventionen waren Hygienemaßnahmen, Milchpasteurisierung und Wechsel des Antibiotikaregimes von Tobramycin zu Amikacin.</w:t>
      </w:r>
    </w:p>
    <w:p>
      <w:r>
        <w:rPr>
          <w:b/>
        </w:rPr>
        <w:t xml:space="preserve">Ergebnis: </w:t>
      </w:r>
      <w:r>
        <w:t>S.-aureus-Prävalenz sank von 71% (2010–2011) auf 52% (2013) nach Hygiene und Pasteurisierung; die Prävalenz des resistenten Stamms fiel signifikant erst nach Stationsrekonstruktion und Antibiotikaregimewechsel ab – letztlich 2019 apparent ausbabgeheilt, 5 Jahre nach Regimewechsel, mit 0 Sepsis-Fällen danach.</w:t>
      </w:r>
    </w:p>
    <w:p>
      <w:r>
        <w:rPr>
          <w:b/>
          <w:sz w:val="19"/>
        </w:rPr>
        <w:t xml:space="preserve">Übertragbarkeit: </w:t>
      </w:r>
      <w:r>
        <w:rPr>
          <w:sz w:val="19"/>
        </w:rPr>
        <w:t>Schweden, vergleichbares Hygiene- und Intensivmedizin-System, praktische Interventionskombination.</w:t>
      </w:r>
    </w:p>
    <w:p>
      <w:r>
        <w:rPr>
          <w:color w:val="5A7D3A"/>
          <w:sz w:val="18"/>
        </w:rPr>
        <w:t>https://pubmed.ncbi.nlm.nih.gov/42768321/</w:t>
      </w:r>
    </w:p>
    <w:p>
      <w:pPr>
        <w:pStyle w:val="Heading2"/>
      </w:pPr>
      <w:r>
        <w:t>Masking-Effekt in spanischer Arzneimittelüberwachung deckt verborgene Sicherheitssignale auf</w:t>
      </w:r>
    </w:p>
    <w:p>
      <w:r>
        <w:rPr>
          <w:i/>
          <w:color w:val="666666"/>
          <w:sz w:val="18"/>
        </w:rPr>
        <w:t>Sols Cueto N et al.  ·  Eur J Clin Pharmacol  ·  21.09.2026  ·  PMID 42766149</w:t>
      </w:r>
    </w:p>
    <w:p>
      <w:r>
        <w:t>Analyse des Masking-Effekts in der spanischen Spontanmeldedatenbank FEDRA, bei dem extreme Arzneimittel-Ereignis-Kombinationen andere Sicherheitssignale überlagern.</w:t>
      </w:r>
    </w:p>
    <w:p>
      <w:r>
        <w:rPr>
          <w:b/>
        </w:rPr>
        <w:t xml:space="preserve">Ergebnis: </w:t>
      </w:r>
      <w:r>
        <w:t>0,4% (1.211/287.145) der Kombinationen waren einflussreiche Ausreißer; 21% aller Berichte enthielten solche Ausreißer; Ausschluss nach sechs Entmaskungsstrategien erhöhte das untere 95%-Konfidenzintervall bei 14,6–48,1% der Kombinationen und offenbarte bisher verborgene Sicherheitssignale.</w:t>
      </w:r>
    </w:p>
    <w:p>
      <w:r>
        <w:rPr>
          <w:b/>
          <w:sz w:val="19"/>
        </w:rPr>
        <w:t xml:space="preserve">Übertragbarkeit: </w:t>
      </w:r>
      <w:r>
        <w:rPr>
          <w:sz w:val="19"/>
        </w:rPr>
        <w:t>Spanien, methodisch auf europäische Überwachungssysteme übertragbar.</w:t>
      </w:r>
    </w:p>
    <w:p>
      <w:r>
        <w:rPr>
          <w:color w:val="5A7D3A"/>
          <w:sz w:val="18"/>
        </w:rPr>
        <w:t>https://pubmed.ncbi.nlm.nih.gov/42766149/</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2026-10-02T06:00:00Z</dcterms:created>
  <dcterms:modified xsi:type="dcterms:W3CDTF">2026-10-02T06:00:00Z</dcterms:modified>
  <cp:category/>
</cp:coreProperties>
</file>