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05.10.2026  |  6 Studien  |  safety.m-vf.de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FMEA-gestützte Massnahmen senkten Medikationsfehler um 49 Prozent</w:t>
      </w:r>
    </w:p>
    <w:p>
      <w:r>
        <w:rPr>
          <w:i/>
          <w:color w:val="666666"/>
          <w:sz w:val="18"/>
        </w:rPr>
        <w:t>Issatayeva N et al.  ·  Georgian Med News  ·  Juli 2026  ·  PMID 42830057</w:t>
      </w:r>
    </w:p>
    <w:p>
      <w:r>
        <w:t>FMEA-Analyse des Medikationsprozesses an einer kasachischen Universitätsklinik mit Umsetzung von Massnahmen wie elektronischer Verordnung, Ärzte-Selbstcheck und mobiler Medikamentenverifizierung.</w:t>
      </w:r>
    </w:p>
    <w:p>
      <w:r>
        <w:rPr>
          <w:b/>
        </w:rPr>
        <w:t xml:space="preserve">Ergebnis: </w:t>
      </w:r>
      <w:r>
        <w:t>Medikationsfehler sanken um 49 % innerhalb eines Jahres; RPN-Gesamtwert von 1990 auf 840 reduziert (57,8 %); Anteil vor Abgabe erkannter Fehler stieg von 30 % auf 70 %.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Zentralasien mit vergleichbarem Versicherungssystem; Erkenntnisse für Kliniken in DACH-Ländern validierbar.</w:t>
      </w:r>
    </w:p>
    <w:p>
      <w:r>
        <w:rPr>
          <w:color w:val="5A7D3A"/>
          <w:sz w:val="18"/>
        </w:rPr>
        <w:t>https://pubmed.ncbi.nlm.nih.gov/42830057/</w:t>
      </w:r>
    </w:p>
    <w:p>
      <w:pPr>
        <w:pStyle w:val="Heading2"/>
      </w:pPr>
      <w:r>
        <w:t>Seltene Katastrophenfälle beeinflussen klinisches Handeln überproportional</w:t>
      </w:r>
    </w:p>
    <w:p>
      <w:r>
        <w:rPr>
          <w:i/>
          <w:color w:val="666666"/>
          <w:sz w:val="18"/>
        </w:rPr>
        <w:t>Ragusa A  ·  J Eval Clin Pract  ·  Okt. 2026  ·  PMID 42829970</w:t>
      </w:r>
    </w:p>
    <w:p>
      <w:r>
        <w:t>Konzeptionelle Analyse, wie extrem seltene unerwünschte Ergebnisse in der Geburtshilfe durch organisationales Gedächtnis, Kognition und Blame-Antizipation das Interventionsverhalten prägen.</w:t>
      </w:r>
    </w:p>
    <w:p>
      <w:r>
        <w:rPr>
          <w:b/>
        </w:rPr>
        <w:t xml:space="preserve">Ergebnis: </w:t>
      </w:r>
      <w:r>
        <w:t>Das Modell 'One-Per-Thousand Effect' zeigt: Isolierte Katastrophen senken Interventionsschwellen progressiv und erhöhen Eingriffe bei viel grösserer Population – auch wenn nur statistisch 1 von 1000 Patienten betroffen ist; unterscheidet proportionales Lernen von defensiver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(Geburtshilfe); qualitatives Modell für Deutschland übertragbar; betrifft auch deutsche Fehlermeldesysteme und Defensive Medicine.</w:t>
      </w:r>
    </w:p>
    <w:p>
      <w:r>
        <w:rPr>
          <w:color w:val="5A7D3A"/>
          <w:sz w:val="18"/>
        </w:rPr>
        <w:t>https://pubmed.ncbi.nlm.nih.gov/42829970/</w:t>
      </w:r>
    </w:p>
    <w:p>
      <w:pPr>
        <w:pStyle w:val="Heading2"/>
      </w:pPr>
      <w:r>
        <w:t>GLP-1-Agonisten senken Sepsis-Sterblichkeit gegenüber SGLT2-Hemmern um 19 Prozent</w:t>
      </w:r>
    </w:p>
    <w:p>
      <w:r>
        <w:rPr>
          <w:i/>
          <w:color w:val="666666"/>
          <w:sz w:val="18"/>
        </w:rPr>
        <w:t>Liu HH et al.  ·  Drug Des Devel Ther  ·  29.09.2026  ·  PMID 42829714</w:t>
      </w:r>
    </w:p>
    <w:p>
      <w:r>
        <w:t>Propensity-Score-gematchtche Kohortenstudie aus TriNetX-Netzwerk (USA): Typ-2-Diabetiker mit Sepsis, die vor Infektion GLP-1RA oder SGLT2i erhielten, auf 90-Tage-Mortalität und kardiovaskuläre Ereignisse.</w:t>
      </w:r>
    </w:p>
    <w:p>
      <w:r>
        <w:rPr>
          <w:b/>
        </w:rPr>
        <w:t xml:space="preserve">Ergebnis: </w:t>
      </w:r>
      <w:r>
        <w:t>90-Tage-Mortalität: GLP-1RA 48,6 vs. SGLT2i 60,6 pro 100 Patientenjahre (HR 0,81; 95%-KI 0,75–0,88); MACE: HR 0,77 (0,65–0,91); ICU-Aufnahme HR 0,89 (0,84–0,94); E-values 1,4–1,7 deuten auf residuales Confounding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Hypothesengenerierung; E-values zeigen Confounding-Anfälligkeit; Bestätigung in prospektiven Studien nötig.</w:t>
      </w:r>
    </w:p>
    <w:p>
      <w:r>
        <w:rPr>
          <w:color w:val="5A7D3A"/>
          <w:sz w:val="18"/>
        </w:rPr>
        <w:t>https://pubmed.ncbi.nlm.nih.gov/42829714/</w:t>
      </w:r>
    </w:p>
    <w:p>
      <w:pPr>
        <w:pStyle w:val="Heading2"/>
      </w:pPr>
      <w:r>
        <w:t>Spülungsprotokolle senkten Infektionen nach Hirnschrittmacher-Implantation um 60 Prozent</w:t>
      </w:r>
    </w:p>
    <w:p>
      <w:r>
        <w:rPr>
          <w:i/>
          <w:color w:val="666666"/>
          <w:sz w:val="18"/>
        </w:rPr>
        <w:t>Liu B et al.  ·  Front Neurol  ·  18.09.2026  ·  PMID 42827959</w:t>
      </w:r>
    </w:p>
    <w:p>
      <w:r>
        <w:t>Retrospektive Kohortenstudie von 385 DBS-Operationen mit vier Spülungsgruppen (Kochsalz, Wasserstoffperoxid, Povidon-Iod, Kombination) zur Reduktion oberflächlicher Infektionen.</w:t>
      </w:r>
    </w:p>
    <w:p>
      <w:r>
        <w:rPr>
          <w:b/>
        </w:rPr>
        <w:t xml:space="preserve">Ergebnis: </w:t>
      </w:r>
      <w:r>
        <w:t>Infektionsrate Kochsalz 5,26 % gegenüber Interventionsgruppen 1,02–1,04 % (p=0,039); Wasserstoffperoxid und 0,5 % Povidon-Iod jeweils eine Infektion pro ~100 Eingriffe.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Prinzip auf andere Operationen übertragbar; vergleichbare Versorgungsstrukturen.</w:t>
      </w:r>
    </w:p>
    <w:p>
      <w:r>
        <w:rPr>
          <w:color w:val="5A7D3A"/>
          <w:sz w:val="18"/>
        </w:rPr>
        <w:t>https://pubmed.ncbi.nlm.nih.gov/42827959/</w:t>
      </w:r>
    </w:p>
    <w:p>
      <w:pPr>
        <w:pStyle w:val="Heading2"/>
      </w:pPr>
      <w:r>
        <w:t>RED-EYE-AMSP-Modell für Antibiotic Stewardship in der Augenheilkunde</w:t>
      </w:r>
    </w:p>
    <w:p>
      <w:r>
        <w:rPr>
          <w:i/>
          <w:color w:val="666666"/>
          <w:sz w:val="18"/>
        </w:rPr>
        <w:t>Panda PK et al.  ·  Indian J Ophthalmol  ·  01.10.2026  ·  PMID 42826044</w:t>
      </w:r>
    </w:p>
    <w:p>
      <w:r>
        <w:t>Qualitative Perspektive zur Implementierung von Antibiotic Stewardship (AMS) in der Ophthalmologie; 10-Punkte-Modell für rationale Verschreibung, kulturgelenkte Therapie und Vermeidung von Resistenzentwicklung.</w:t>
      </w:r>
    </w:p>
    <w:p>
      <w:r>
        <w:rPr>
          <w:b/>
        </w:rPr>
        <w:t xml:space="preserve">Ergebnis: </w:t>
      </w:r>
      <w:r>
        <w:t>RED-EYE-AMSP benennt: rationale Verordnung ohne OTC-Tropfen, kulturgeleitete Therapie für therapieresistente Infektionen, aseptische Chirurgie, Audit antimikrobieller Nutzung; Fokus auf Fusarium/Candida-Resistenz und Pseudomonas-Fluorochinolon-Resistenz als Versorgungsproblem in LMIC.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LMIC-spezifisch; Stewardship-Prinzipien für Deutsche Kliniken und Praxen anwendbar.</w:t>
      </w:r>
    </w:p>
    <w:p>
      <w:r>
        <w:rPr>
          <w:color w:val="5A7D3A"/>
          <w:sz w:val="18"/>
        </w:rPr>
        <w:t>https://pubmed.ncbi.nlm.nih.gov/42826044/</w:t>
      </w:r>
    </w:p>
    <w:p>
      <w:pPr>
        <w:pStyle w:val="Heading2"/>
      </w:pPr>
      <w:r>
        <w:t>Frühe iatroge Menopause erhöht kardiovaskuläre Sterblichkeit vor Alter 45</w:t>
      </w:r>
    </w:p>
    <w:p>
      <w:r>
        <w:rPr>
          <w:i/>
          <w:color w:val="666666"/>
          <w:sz w:val="18"/>
        </w:rPr>
        <w:t>Armeni E et al.  ·  JAMA Netw Open  ·  01.10.2026  ·  PMID 42826016</w:t>
      </w:r>
    </w:p>
    <w:p>
      <w:r>
        <w:t>Systematischer Review und Meta-Analyse von 36 Studien mit 2,6 Mio. Frauen zu kardiovaskulärer Morbidität und Mortalität nach iatrogener Menopause vs. Kontrollen, stratifiziert nach Menopause-Alter.</w:t>
      </w:r>
    </w:p>
    <w:p>
      <w:r>
        <w:rPr>
          <w:b/>
        </w:rPr>
        <w:t xml:space="preserve">Ergebnis: </w:t>
      </w:r>
      <w:r>
        <w:t>Iatrogene Menopause assoziiert mit erhöhtem Risiko für kardiovaskuläre Ereignisse (PHR 1,25; 95%-KI 1,12–1,39), koronare Herzkrankheit (1,48; 1,07–2,03) und Schlaganfall (1,22; 1,15–1,28); Sterblichkeitsexzess nur vor Alter 45 Jahren (kardiovaskulär PHR 1,20; 1,04–1,37), nicht danach.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Nordamerika, Australien; Design und Messverfahren auf Deutschland übertragbar.</w:t>
      </w:r>
    </w:p>
    <w:p>
      <w:r>
        <w:rPr>
          <w:color w:val="5A7D3A"/>
          <w:sz w:val="18"/>
        </w:rPr>
        <w:t>https://pubmed.ncbi.nlm.nih.gov/42826016/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