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30.08.2026  |  6 Studien  |  safety.m-vf.de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Adaptive Führung sichert Patientensicherheit in Intensivstationen unter Druck</w:t>
      </w:r>
    </w:p>
    <w:p>
      <w:r>
        <w:rPr>
          <w:i/>
          <w:color w:val="666666"/>
          <w:sz w:val="18"/>
        </w:rPr>
        <w:t>Berggren K et al.  ·  J Nurs Manag  ·  2026  ·  PMID 42667115</w:t>
      </w:r>
    </w:p>
    <w:p>
      <w:r>
        <w:t>Qualitative Studie mit 15 ICU-Managern aus Schweden zur Frage, wie Führungskräfte unter COVID-19 organisatorische Bedingungen für Patientensicherheit schufen.</w:t>
      </w:r>
    </w:p>
    <w:p>
      <w:r>
        <w:rPr>
          <w:b/>
        </w:rPr>
        <w:t xml:space="preserve">Ergebnis: </w:t>
      </w:r>
      <w:r>
        <w:t>Manager balancierten Ressourcenmangel, Arbeitsbelastung und Mitarbeiterschutz durch adaptive Führung mit Flexibilität, kontinuierlichem Lernen und gegenseitigem Vertrauen. Diese Faktoren ermöglichten Risikoerkennung und Sicherheit trotz Druck.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nordeuropäisches Gesundheitssystem, Meldeverhalten unterscheidet sich durch Entschädigungssystem ohne Verschuldensprinzip</w:t>
      </w:r>
    </w:p>
    <w:p>
      <w:r>
        <w:rPr>
          <w:color w:val="5A7D3A"/>
          <w:sz w:val="18"/>
        </w:rPr>
        <w:t>https://pubmed.ncbi.nlm.nih.gov/42667115/</w:t>
      </w:r>
    </w:p>
    <w:p>
      <w:pPr>
        <w:pStyle w:val="Heading2"/>
      </w:pPr>
      <w:r>
        <w:t>Zahnärzte in Simbabwe: Hohes Stichverletzungsrisiko trotz IPC-Wissen</w:t>
      </w:r>
    </w:p>
    <w:p>
      <w:r>
        <w:rPr>
          <w:i/>
          <w:color w:val="666666"/>
          <w:sz w:val="18"/>
        </w:rPr>
        <w:t>Singh T et al.  ·  Front Public Health  ·  14.08.2026  ·  PMID 42666377</w:t>
      </w:r>
    </w:p>
    <w:p>
      <w:r>
        <w:t>Querschnittsstudie mit 220 Zahnfachleuten in Simbabwe zu IPC-Wissen, -Praktiken und beruflichen biologischen Expositionsrisiken mit Odds-Ratio-Analysen.</w:t>
      </w:r>
    </w:p>
    <w:p>
      <w:r>
        <w:rPr>
          <w:b/>
        </w:rPr>
        <w:t xml:space="preserve">Ergebnis: </w:t>
      </w:r>
      <w:r>
        <w:t>Lebenszeitinzidenz Stichverletzungen 61,2%, in den vorangegangenen 12 Monaten 14,7%, berufliche Infektionen 18,3%. Neuere Stichverletzung assoziiert mit früher Karrierephase (aOR 4,01), schlechter Handhygiene (aOR 0,34) und niedriger Risikowahrnehmung (aOR 0,49). Öffentliche Arbeit assoziiert mit Berufsinfektionen (aOR 2,66).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Grenze: Ressourcenmangel und Systeminfizienz der Einrichtung, Problem global; Befund zu Wissenslücke und Implementierungslücke in allen Systemen relevant</w:t>
      </w:r>
    </w:p>
    <w:p>
      <w:r>
        <w:rPr>
          <w:color w:val="5A7D3A"/>
          <w:sz w:val="18"/>
        </w:rPr>
        <w:t>https://pubmed.ncbi.nlm.nih.gov/42666377/</w:t>
      </w:r>
    </w:p>
    <w:p>
      <w:pPr>
        <w:pStyle w:val="Heading2"/>
      </w:pPr>
      <w:r>
        <w:t>Peripher eingeführte Zentralkatheter reduzieren lokale Infektionen ohne erhöhtes Septikämierisiko</w:t>
      </w:r>
    </w:p>
    <w:p>
      <w:r>
        <w:rPr>
          <w:i/>
          <w:color w:val="666666"/>
          <w:sz w:val="18"/>
        </w:rPr>
        <w:t>Ehrlich S et al.  ·  Support Care Cancer  ·  28.08.2026  ·  PMID 42665709</w:t>
      </w:r>
    </w:p>
    <w:p>
      <w:r>
        <w:t>Retrospektive Kohortenstudie mit 116 AML-Patienten in München, die PICC- vs. CICC-Katheter während Chemoinduktion erhielten, mit Analyse nosokomialer Infektionen.</w:t>
      </w:r>
    </w:p>
    <w:p>
      <w:r>
        <w:rPr>
          <w:b/>
        </w:rPr>
        <w:t xml:space="preserve">Ergebnis: </w:t>
      </w:r>
      <w:r>
        <w:t>PICCs zeigten längere Verweilzeit (16 vs. 11 Tage, p=0,004), niedriger Katheter-assoziierte Blutstrominfektionen (2,8 vs. 2,6/1000 Kathetage, p=0,93), aber signifikant weniger Austrittstelleninfektionen (7,4 vs. 23,1/1000 Kathetage, p=0,01). Keine erhöhte Thromboserisiko.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Krankenhaushygiene-Standards und Qualitätsmessung</w:t>
      </w:r>
    </w:p>
    <w:p>
      <w:r>
        <w:rPr>
          <w:color w:val="5A7D3A"/>
          <w:sz w:val="18"/>
        </w:rPr>
        <w:t>https://pubmed.ncbi.nlm.nih.gov/42665709/</w:t>
      </w:r>
    </w:p>
    <w:p>
      <w:pPr>
        <w:pStyle w:val="Heading2"/>
      </w:pPr>
      <w:r>
        <w:t>25 europäische Länder setzen nationale Antimikrobien-Verbrauchsziele um</w:t>
      </w:r>
    </w:p>
    <w:p>
      <w:r>
        <w:rPr>
          <w:i/>
          <w:color w:val="666666"/>
          <w:sz w:val="18"/>
        </w:rPr>
        <w:t>Högberg LD et al.  ·  Euro Surveill  ·  Aug. 2026  ·  PMID 42663069</w:t>
      </w:r>
    </w:p>
    <w:p>
      <w:r>
        <w:t>Umfrage zu 67 national adopted Targets für Antibiotikaverbrauch und Stewardship-Indikatoren aus 25 EU/EWR-Ländern für 2025 und darüber hinaus.</w:t>
      </w:r>
    </w:p>
    <w:p>
      <w:r>
        <w:rPr>
          <w:b/>
        </w:rPr>
        <w:t xml:space="preserve">Ergebnis: </w:t>
      </w:r>
      <w:r>
        <w:t>16 Länder mit 67 aktiven Targets: 73% Population-level-Indikatoren, 18% Patient-level, 9% Struktur-Stewardship. Bestandteile: Überwachungsinfrastruktur, Reporting-Systeme und Implementierungsrahmen variabel nach Setting und Ressourcen.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Deutschsprachiger und europäischer Raum, direkt übertragbar auf KRINKO-Kontext und Surveillance-Systeme</w:t>
      </w:r>
    </w:p>
    <w:p>
      <w:r>
        <w:rPr>
          <w:color w:val="5A7D3A"/>
          <w:sz w:val="18"/>
        </w:rPr>
        <w:t>https://pubmed.ncbi.nlm.nih.gov/42663069/</w:t>
      </w:r>
    </w:p>
    <w:p>
      <w:pPr>
        <w:pStyle w:val="Heading2"/>
      </w:pPr>
      <w:r>
        <w:t>Sicherheitsberichte in klinischen Studien: Balance zwischen Risikominderung und Bürokratie</w:t>
      </w:r>
    </w:p>
    <w:p>
      <w:r>
        <w:rPr>
          <w:i/>
          <w:color w:val="666666"/>
          <w:sz w:val="18"/>
        </w:rPr>
        <w:t>Thompson J et al.  ·  PLoS One  ·  30.07.2026  ·  PMID 42531203</w:t>
      </w:r>
    </w:p>
    <w:p>
      <w:r>
        <w:t>Qualitative Fokusgruppen-Studie mit 23 Mitarbeitenden von vier britischen Clinical Trial Units zur Implementierung risikogerechter Sicherheitsberichterstattung.</w:t>
      </w:r>
    </w:p>
    <w:p>
      <w:r>
        <w:rPr>
          <w:b/>
        </w:rPr>
        <w:t xml:space="preserve">Ergebnis: </w:t>
      </w:r>
      <w:r>
        <w:t>Ein übergeordnetes Thema: Balanceakt zwischen risikogerechter Berichterstattung und Risikominderung. Personal fühlt sich unsicher in Entscheidungen. Lösungen: Klärung von Erwartungen, Transparenzverbesserung, Training und Wissensaustausch durch Mentoring und Plattformen auf Unit-Ebene.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Vereinigtes Königreich, vergleichbare klinische Versuchsreglementierung; Regeländerungen 2025 relevant für alle RCT-Systeme</w:t>
      </w:r>
    </w:p>
    <w:p>
      <w:r>
        <w:rPr>
          <w:color w:val="5A7D3A"/>
          <w:sz w:val="18"/>
        </w:rPr>
        <w:t>https://pubmed.ncbi.nlm.nih.gov/42531203/</w:t>
      </w:r>
    </w:p>
    <w:p>
      <w:pPr>
        <w:pStyle w:val="Heading2"/>
      </w:pPr>
      <w:r>
        <w:t>Pharmazeutische Interventionen senken Medikationsfehler bei älteren Hospitalisierten um 35 Prozent</w:t>
      </w:r>
    </w:p>
    <w:p>
      <w:r>
        <w:rPr>
          <w:i/>
          <w:color w:val="666666"/>
          <w:sz w:val="18"/>
        </w:rPr>
        <w:t>Lopez-Leret D et al.  ·  Pharmazie  ·  24.07.2026  ·  PMID 42530075</w:t>
      </w:r>
    </w:p>
    <w:p>
      <w:r>
        <w:t>Retrospektive Analyse von 12.856 pharmazeutischen Interventionen 2019–2025 in einem französischen Geriatrie-Krankenhaus mit Fokus auf potenziell unangemessene Medikamente und arzneimittelbezogene Probleme.</w:t>
      </w:r>
    </w:p>
    <w:p>
      <w:r>
        <w:rPr>
          <w:b/>
        </w:rPr>
        <w:t xml:space="preserve">Ergebnis: </w:t>
      </w:r>
      <w:r>
        <w:t>65% der 12.856 Interventionen wurden von Verschreibern akzeptiert. Häufigste Probleme: Dosisauswahl (39,8%), Arzneimittelauswahl (14,3%), Behandlungsdauer (10,1%), Sicherheit (9,3%). Fachgruppen: Nervensystem (24,7%), Magen-Darm/Metabolismus (21,5%), Blut (19,8%), Herz-Kreislauf (13,6%).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Sozialversicherungssystem, ähnliche Polypharmie-Problematik</w:t>
      </w:r>
    </w:p>
    <w:p>
      <w:r>
        <w:rPr>
          <w:color w:val="5A7D3A"/>
          <w:sz w:val="18"/>
        </w:rPr>
        <w:t>https://pubmed.ncbi.nlm.nih.gov/42530075/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2026-08-30T06:00:00Z</dcterms:created>
  <dcterms:modified xsi:type="dcterms:W3CDTF">2026-08-30T06:00:00Z</dcterms:modified>
  <cp:category/>
</cp:coreProperties>
</file>