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11.10.2026  |  6 Studien  |  safety.m-vf.de</w:t>
      </w:r>
    </w:p>
    <w:p>
      <w:pPr>
        <w:pStyle w:val="Heading1"/>
      </w:pPr>
      <w:r>
        <w:t>Aufgenommen am 11.10.2026</w:t>
      </w:r>
    </w:p>
    <w:p>
      <w:pPr>
        <w:pStyle w:val="Heading2"/>
      </w:pPr>
      <w:r>
        <w:t>Deprescribing-Leitlinie für ältere Erwachsene reduziert potentiell unangemessene Medikamente</w:t>
      </w:r>
    </w:p>
    <w:p>
      <w:r>
        <w:rPr>
          <w:i/>
          <w:color w:val="666666"/>
          <w:sz w:val="18"/>
        </w:rPr>
        <w:t>Tian F et al.  ·  BMC Geriatr  ·  21.09.2026  ·  PMID 42855669</w:t>
      </w:r>
    </w:p>
    <w:p>
      <w:r>
        <w:t>Chinesische Fachgruppe entwickelte evidenzbasierte Richtlinie für De-Verschreibung potentiell unangemessener Medikamente (PIM) bei älteren Erwachsenen mit standardisiertem ORDER-Prozess (fünf Schritte) und Delphi-Konsens.</w:t>
      </w:r>
    </w:p>
    <w:p>
      <w:r>
        <w:rPr>
          <w:b/>
        </w:rPr>
        <w:t xml:space="preserve">Ergebnis: </w:t>
      </w:r>
      <w:r>
        <w:t>Neue Leitlinie ORDER (organize, medication review, develop plan, execute, realize feedback) als erstes standardisiertes Chinas-Protokoll für PIM-Management. Multidisziplinäres Modell mit Patientenbeteiligung; 15 Aspekte für deprescribing-Empfehlungen entwickelt. Konkrete Machbarkeit und Priorisierung von PIM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Medication-Safety-Grundprinzipien international übertragbar, deutsche Geriatrie-Leitlinien ähnlich strukturiert</w:t>
      </w:r>
    </w:p>
    <w:p>
      <w:r>
        <w:rPr>
          <w:color w:val="5A7D3A"/>
          <w:sz w:val="18"/>
        </w:rPr>
        <w:t>https://pubmed.ncbi.nlm.nih.gov/42855669/</w:t>
      </w:r>
    </w:p>
    <w:p>
      <w:pPr>
        <w:pStyle w:val="Heading2"/>
      </w:pPr>
      <w:r>
        <w:t>Ethische Haltung von Notfallteams schwach assoziiert mit Bewusstsein für Kunstfehlerhaftung</w:t>
      </w:r>
    </w:p>
    <w:p>
      <w:r>
        <w:rPr>
          <w:i/>
          <w:color w:val="666666"/>
          <w:sz w:val="18"/>
        </w:rPr>
        <w:t>Degirmenci S et al.  ·  Medicine (Baltimore)  ·  09.10.2026  ·  PMID 42854010</w:t>
      </w:r>
    </w:p>
    <w:p>
      <w:r>
        <w:t>Türkische Querschnittsstudie an 397 Notfall-Fachpersonen entwickelte Skala für ethischen Zugang zu psychiatrischen Patienten in Notfallkontexten und prüfte Assoziation mit Bewusstsein für Kunstfehlerhaftungsrisiko.</w:t>
      </w:r>
    </w:p>
    <w:p>
      <w:r>
        <w:rPr>
          <w:b/>
        </w:rPr>
        <w:t xml:space="preserve">Ergebnis: </w:t>
      </w:r>
      <w:r>
        <w:t>Angepasste 16-Item-Skala für ethischen Zugang validiert. Kunstfehlerhaftungsrisiko-Bewusstsein unterschied sich signifikant nach Geschlecht, Beruf, Einkommen, Schulung und Kunstfehler-Erlebnis. Ethische Zugangsskala zeigte statistisch signifikante, aber schwache Assoziation (1,5% erklärte Varianz) mit Kunstfehler-Bewusstsein.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Notfall-Sicherheitskultur, aber Ethik-Kunstfehler-Nexus international relevant</w:t>
      </w:r>
    </w:p>
    <w:p>
      <w:r>
        <w:rPr>
          <w:color w:val="5A7D3A"/>
          <w:sz w:val="18"/>
        </w:rPr>
        <w:t>https://pubmed.ncbi.nlm.nih.gov/42854010/</w:t>
      </w:r>
    </w:p>
    <w:p>
      <w:pPr>
        <w:pStyle w:val="Heading2"/>
      </w:pPr>
      <w:r>
        <w:t>Laborbasiertes Prognose-Nomogramm stratifiziert Sepsis-Patienten früh nach Mortalitätsrisiko</w:t>
      </w:r>
    </w:p>
    <w:p>
      <w:r>
        <w:rPr>
          <w:i/>
          <w:color w:val="666666"/>
          <w:sz w:val="18"/>
        </w:rPr>
        <w:t>Shu M et al.  ·  Lab Med  ·  05.10.2026  ·  PMID 42853634</w:t>
      </w:r>
    </w:p>
    <w:p>
      <w:r>
        <w:t>Entwicklung und Validierung eines LASSO-basierten Nomogramms zur Früh-Risikostratifikation bei Sepsis mit Laborparametern (SOFA, GCS, Harnstoff, IL-6).</w:t>
      </w:r>
    </w:p>
    <w:p>
      <w:r>
        <w:rPr>
          <w:b/>
        </w:rPr>
        <w:t xml:space="preserve">Ergebnis: </w:t>
      </w:r>
      <w:r>
        <w:t>Concordance-Index 0,806 (Training) und 0,889 (Validierung); Sensitivität/Spezifität 85,0%/68,8% (Training) und 87,9%/86,7% (Validierung). SOFA-Score (OR 1,271), GCS (OR 0,807), Serumurea (OR 1,097), IL-6 (OR 1,001) als unabhängige Prognose-Faktoren. Kalibrierungskurven zeigen gute Übereinstimmung.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Sepsis-Biomarker und Prognose-Validierungsprinzipien global anwendbar</w:t>
      </w:r>
    </w:p>
    <w:p>
      <w:r>
        <w:rPr>
          <w:color w:val="5A7D3A"/>
          <w:sz w:val="18"/>
        </w:rPr>
        <w:t>https://pubmed.ncbi.nlm.nih.gov/42853634/</w:t>
      </w:r>
    </w:p>
    <w:p>
      <w:pPr>
        <w:pStyle w:val="Heading2"/>
      </w:pPr>
      <w:r>
        <w:t>Sepsis-Coagulopathie: Trajektorien vorhersagen Mortalität und Heparineffekt</w:t>
      </w:r>
    </w:p>
    <w:p>
      <w:r>
        <w:rPr>
          <w:i/>
          <w:color w:val="666666"/>
          <w:sz w:val="18"/>
        </w:rPr>
        <w:t>Cao Y et al.  ·  Front Cell Infect Microbiol  ·  24.09.2026  ·  PMID 42851353</w:t>
      </w:r>
    </w:p>
    <w:p>
      <w:r>
        <w:t>Multizenterstudie an 20.168 ICU-Patienten mit Sepsis-induzierter Coagulopathie (SIC), die drei Verlaufsmuster identifizierte und deren Assoziation mit 28-Tage-Mortalität sowie Wirksamkeit prophylaktischer Heparingabe evaluierte.</w:t>
      </w:r>
    </w:p>
    <w:p>
      <w:r>
        <w:rPr>
          <w:b/>
        </w:rPr>
        <w:t xml:space="preserve">Ergebnis: </w:t>
      </w:r>
      <w:r>
        <w:t>Drei SIC-Trajektorien: persistierend erhöht (31,9%), ansteigend-dann-fallend (10,6%), resolvent (57,5%). Persistierend erhöhte Trajektorie zeigte adjustierte Subdistribution-Hazard-Ratio 1,65 (95%-KI 1,52–1,78) für Mortalität vs. resolvent. Prophylaktisches Heparin assoziiert mit reduzierter Post-Landmark-Mortalität in MIMIC-IV (sHR 0,908, p=0,018), nicht repliziert in eICU-CRD (p=0,118).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ICU-Daten, sepsis-relevantes Treatment-Outcome, Translatierbarkeit begrenzt durch unterschiedliche Erkrankungsschwere</w:t>
      </w:r>
    </w:p>
    <w:p>
      <w:r>
        <w:rPr>
          <w:color w:val="5A7D3A"/>
          <w:sz w:val="18"/>
        </w:rPr>
        <w:t>https://pubmed.ncbi.nlm.nih.gov/42851353/</w:t>
      </w:r>
    </w:p>
    <w:p>
      <w:pPr>
        <w:pStyle w:val="Heading2"/>
      </w:pPr>
      <w:r>
        <w:t>Persistenter Ausbruch von Carbapenem-resistentem Acinetobacter baumannii trotz Standard-Infektionsprävention</w:t>
      </w:r>
    </w:p>
    <w:p>
      <w:r>
        <w:rPr>
          <w:i/>
          <w:color w:val="666666"/>
          <w:sz w:val="18"/>
        </w:rPr>
        <w:t>Sourenian T et al.  ·  Front Cell Infect Microbiol  ·  24.09.2026  ·  PMID 42851326</w:t>
      </w:r>
    </w:p>
    <w:p>
      <w:r>
        <w:t>Outbreak-Untersuchung von 13 XDR-Acinetobacter-baumannii-Stämmen (ST2) in libanesischer ICU mit molekularer Genotypisierung, die zwei nosokomial übertragene Cluster und Übertragungs-Potenzial nachweisen.</w:t>
      </w:r>
    </w:p>
    <w:p>
      <w:r>
        <w:rPr>
          <w:b/>
        </w:rPr>
        <w:t xml:space="preserve">Ergebnis: </w:t>
      </w:r>
      <w:r>
        <w:t>Alle Isolate blaOXA-23 chromosomal; 52 Genotypen und fünf Cluster identifiziert (vier auf einzelne Kliniken begrenzt, ein Cluster über sechs Kliniken). Größter Cluster mit iranischen, niederländischen und Sri-Lanka-Isolaten verwandt. SNP-Analyse bestätigt hohe Diskriminationsfähigkeit. Fortgesetzte Zirkulation trotz konventioneller Infektionsprävention zeigt erhöhtes Transmissionspotenzial dieser Linie.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Libanon, aber Carbapenem-Resistenz-Management und ICU-Hygiene-Struktur in Deutschland hochrelevant</w:t>
      </w:r>
    </w:p>
    <w:p>
      <w:r>
        <w:rPr>
          <w:color w:val="5A7D3A"/>
          <w:sz w:val="18"/>
        </w:rPr>
        <w:t>https://pubmed.ncbi.nlm.nih.gov/42851326/</w:t>
      </w:r>
    </w:p>
    <w:p>
      <w:pPr>
        <w:pStyle w:val="Heading2"/>
      </w:pPr>
      <w:r>
        <w:t>Umleitung von Nicht-Notfall-Patienten aus der Notaufnahme in Hausarztpraxen ist sicher</w:t>
      </w:r>
    </w:p>
    <w:p>
      <w:r>
        <w:rPr>
          <w:i/>
          <w:color w:val="666666"/>
          <w:sz w:val="18"/>
        </w:rPr>
        <w:t>Alsulami W et al.  ·  Emerg Med Australas  ·  Okt. 2026  ·  PMID 42851122</w:t>
      </w:r>
    </w:p>
    <w:p>
      <w:r>
        <w:t>Scoping Review von neun Studien zur Sicherheit und Verfahrenskomponenten beim Umleiten von Nicht-Notfall-Patienten von Notaufnahmen in die Primärversorgung.</w:t>
      </w:r>
    </w:p>
    <w:p>
      <w:r>
        <w:rPr>
          <w:b/>
        </w:rPr>
        <w:t xml:space="preserve">Ergebnis: </w:t>
      </w:r>
      <w:r>
        <w:t>9,7% Rückkehrquote, 1,7% Hospitalisierungsrate, 0,07% Mortalität. Studien mit null Hospitalisierungen und Todesfällen implementierten mehrere Komponenten (Dokumentation Beschwerde, Registrierung, Vitalzeichen, Triage). Umleitung erscheint sicher und akzeptabel bei klaren Kriterien, Evidenz aber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 und Vereinigtes Königreich, vergleichbare ED-Versorgungsstruktur und Patientensicherheitsansätze</w:t>
      </w:r>
    </w:p>
    <w:p>
      <w:r>
        <w:rPr>
          <w:color w:val="5A7D3A"/>
          <w:sz w:val="18"/>
        </w:rPr>
        <w:t>https://pubmed.ncbi.nlm.nih.gov/42851122/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2026-10-11T06:00:00Z</dcterms:created>
  <dcterms:modified xsi:type="dcterms:W3CDTF">2026-10-11T06:00:00Z</dcterms:modified>
  <cp:category/>
</cp:coreProperties>
</file>