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04.09.2026  |  6 Studien  |  safety.m-vf.de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Konsensusrahmen zur Qualität von Medikationsfehlerberichten: Neun Indikatoren für besseres Lernen</w:t>
      </w:r>
    </w:p>
    <w:p>
      <w:r>
        <w:rPr>
          <w:i/>
          <w:color w:val="666666"/>
          <w:sz w:val="18"/>
        </w:rPr>
        <w:t>Monshi M et al.  ·  BMJ Open  ·  02.09.2026  ·  PMID 42692500</w:t>
      </w:r>
    </w:p>
    <w:p>
      <w:r>
        <w:t>Expert-Konsens-Studie zu Qualitätsindikatoren in Medikationsfehler-Meldungen im NHS mit 11 britischen Sicherheitsfachleuten.</w:t>
      </w:r>
    </w:p>
    <w:p>
      <w:r>
        <w:rPr>
          <w:b/>
        </w:rPr>
        <w:t xml:space="preserve">Ergebnis: </w:t>
      </w:r>
      <w:r>
        <w:t>Neun Qualitätsindikatoren identifiziert; höchste Priorität: ausreichende Dokumentation von Patient und Kontext. Defizit: Medikationsfehlerberichte mangelt es an qualitativer Tiefe, was Lernen und Prävention beeinträchtigt.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UK-Gesundheitssystem; comparable Melde- und Governance-strukturen mit Deutschland</w:t>
      </w:r>
    </w:p>
    <w:p>
      <w:r>
        <w:rPr>
          <w:color w:val="5A7D3A"/>
          <w:sz w:val="18"/>
        </w:rPr>
        <w:t>https://pubmed.ncbi.nlm.nih.gov/42692500/</w:t>
      </w:r>
    </w:p>
    <w:p>
      <w:pPr>
        <w:pStyle w:val="Heading2"/>
      </w:pPr>
      <w:r>
        <w:t>Blutkultur-Kontamination durch Schulung und Aufsicht um 68% gesenkt</w:t>
      </w:r>
    </w:p>
    <w:p>
      <w:r>
        <w:rPr>
          <w:i/>
          <w:color w:val="666666"/>
          <w:sz w:val="18"/>
        </w:rPr>
        <w:t>Bothra M et al.  ·  Natl Med J India  ·  Sept. 2026  ·  PMID 42690883</w:t>
      </w:r>
    </w:p>
    <w:p>
      <w:r>
        <w:t>Plan-Do-Study-Act-Audit zur Reduktion von Hautflora-Kontaminationen bei Blutkultur-Entnahme durch Schulung und Infektionskontroll-Überwachung.</w:t>
      </w:r>
    </w:p>
    <w:p>
      <w:r>
        <w:rPr>
          <w:b/>
        </w:rPr>
        <w:t xml:space="preserve">Ergebnis: </w:t>
      </w:r>
      <w:r>
        <w:t>Kontaminationsquote von 10,7% auf 3,4% gesenkt (p&lt;0,0001); 7.329 Blutkulturen untersucht (5.700 post-intervention). Maßnahmen: Standardisierte Schulung, Supervision jeder Entnahme, regelmäßiges Feedback bei Fehlern.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aber Fehlermeldesystem und CIRS-Logik international übertragbar</w:t>
      </w:r>
    </w:p>
    <w:p>
      <w:r>
        <w:rPr>
          <w:color w:val="5A7D3A"/>
          <w:sz w:val="18"/>
        </w:rPr>
        <w:t>https://pubmed.ncbi.nlm.nih.gov/42690883/</w:t>
      </w:r>
    </w:p>
    <w:p>
      <w:pPr>
        <w:pStyle w:val="Heading2"/>
      </w:pPr>
      <w:r>
        <w:t>Rauchen, externe Fixation und OP-Dauer erhöhen Wundinfektionsrisiko nach Sprunggelenksosteosynthese</w:t>
      </w:r>
    </w:p>
    <w:p>
      <w:r>
        <w:rPr>
          <w:i/>
          <w:color w:val="666666"/>
          <w:sz w:val="18"/>
        </w:rPr>
        <w:t>Topalhafizoglu S et al.  ·  Acta Orthop  ·  03.09.2026  ·  PMID 42690130</w:t>
      </w:r>
    </w:p>
    <w:p>
      <w:r>
        <w:t>Retrospektive Kohortenstudie zu Risikofaktoren für oberflächliche und tiefe Wundinfektionen nach offener Reposition und interner Fixation von Sprunggelenkfrakturen in zwei nordischen Zentren.</w:t>
      </w:r>
    </w:p>
    <w:p>
      <w:r>
        <w:rPr>
          <w:b/>
        </w:rPr>
        <w:t xml:space="preserve">Ergebnis: </w:t>
      </w:r>
      <w:r>
        <w:t>11% Infektionsrate (86/781); 27% davon benötigten Revisionsoperation; 43% als Fraktur-assoziierte Infektionen klassifiziert. Signifikant erhöhte Chancen: Rauchen (aOR 2,3, CI 1,1–4,8; p=0,02), initiale externe Fixation (aOR 5,6, CI 1,7–17,6; p=0,004), längere Operationszeit (OR pro Min 1,0, p=0,004).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europäisches Versicherungs- und Qualitätskontrollsystem</w:t>
      </w:r>
    </w:p>
    <w:p>
      <w:r>
        <w:rPr>
          <w:color w:val="5A7D3A"/>
          <w:sz w:val="18"/>
        </w:rPr>
        <w:t>https://pubmed.ncbi.nlm.nih.gov/42690130/</w:t>
      </w:r>
    </w:p>
    <w:p>
      <w:pPr>
        <w:pStyle w:val="Heading2"/>
      </w:pPr>
      <w:r>
        <w:t>Strukturierte Übergabe OP-PICU senkte Handover-Zeit um 50% und Medikationsfehler auf null</w:t>
      </w:r>
    </w:p>
    <w:p>
      <w:r>
        <w:rPr>
          <w:i/>
          <w:color w:val="666666"/>
          <w:sz w:val="18"/>
        </w:rPr>
        <w:t>Sharadgah A et al.  ·  Nurs Crit Care  ·  Sept. 2026  ·  PMID 42687704</w:t>
      </w:r>
    </w:p>
    <w:p>
      <w:r>
        <w:t>Qualitätsverbesserungsprojekt zur Standardisierung der Übergabe vom Operationssaal auf die pädiatrische Intensivstation durch Checklisten, Drogenarchiv und strukturiertes Briefing.</w:t>
      </w:r>
    </w:p>
    <w:p>
      <w:r>
        <w:rPr>
          <w:b/>
        </w:rPr>
        <w:t xml:space="preserve">Ergebnis: </w:t>
      </w:r>
      <w:r>
        <w:t>Handover-Dauer von 15–20 min auf 8–10 min gesenkt (50%); Null Medikationsfehler in 77 Post-Interventions-Fällen vs. 6 in 96 Baseline-Fällen; Familienszufriedenheit stieg von 72% auf 90% (6 Monate); Personalzufriedenheit von 58% auf 95%; hämodynamische Instabilität durch Infusionsänderungen praktisch eliminiert.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Tertiary pediatric hospital UAE; Handover-Risiken und Medikationsprozesse überall ähnlich</w:t>
      </w:r>
    </w:p>
    <w:p>
      <w:r>
        <w:rPr>
          <w:color w:val="5A7D3A"/>
          <w:sz w:val="18"/>
        </w:rPr>
        <w:t>https://pubmed.ncbi.nlm.nih.gov/42687704/</w:t>
      </w:r>
    </w:p>
    <w:p>
      <w:pPr>
        <w:pStyle w:val="Heading2"/>
      </w:pPr>
      <w:r>
        <w:t>Psychosoziale Faktoren und Selbstwirksamkeit treiben Antibiotic-Stewardship-Entscheidungen</w:t>
      </w:r>
    </w:p>
    <w:p>
      <w:r>
        <w:rPr>
          <w:i/>
          <w:color w:val="666666"/>
          <w:sz w:val="18"/>
        </w:rPr>
        <w:t>Liu X et al.  ·  Sci Rep  ·  13.08.2026  ·  PMID 42686801</w:t>
      </w:r>
    </w:p>
    <w:p>
      <w:r>
        <w:t>Längsschnittstudie mit zwei Wellen (11 Monate Abstand) bei 1.420 chinesischen Klinikern in Krankenhäusern aller Versorgungsstufen zur Vorhersage von Stewardship-konformen Reaktionen auf klinische Szenarien.</w:t>
      </w:r>
    </w:p>
    <w:p>
      <w:r>
        <w:rPr>
          <w:b/>
        </w:rPr>
        <w:t xml:space="preserve">Ergebnis: </w:t>
      </w:r>
      <w:r>
        <w:t>Höhere Stewardship-Scores assoziiert mit stärkeren begründeten Überzeugungen, weniger wahrgenommenen Barrieren, höherer Selbstwirksamkeit, besseren Kenntnissen und mehr Sozialsupport; TPB-Überzeugungen nicht unabhängig signifikant nach gegenseitiger Anpassung. Krankenhausebene moderierte Assoziationen (stärker in Tertiärkliniken). Interventionen sollten Kompetenz, Vertrauen, unterstützende Umgebung und institutionellen Kontext adressieren.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psychosoziale Determinanten und Barrieren in Stewardship-Implementierung international relevant</w:t>
      </w:r>
    </w:p>
    <w:p>
      <w:r>
        <w:rPr>
          <w:color w:val="5A7D3A"/>
          <w:sz w:val="18"/>
        </w:rPr>
        <w:t>https://pubmed.ncbi.nlm.nih.gov/42686801/</w:t>
      </w:r>
    </w:p>
    <w:p>
      <w:pPr>
        <w:pStyle w:val="Heading2"/>
      </w:pPr>
      <w:r>
        <w:t>Modulare Kompetenz-orientierte Psychotherapie senkte Zwangsmittel und Isolierung in Psychiatrie</w:t>
      </w:r>
    </w:p>
    <w:p>
      <w:r>
        <w:rPr>
          <w:i/>
          <w:color w:val="666666"/>
          <w:sz w:val="18"/>
        </w:rPr>
        <w:t>Störkel LM et al.  ·  BMC Psychiatry  ·  05.08.2026  ·  PMID 42557550</w:t>
      </w:r>
    </w:p>
    <w:p>
      <w:r>
        <w:t>Naturalistisches Drei-Jahres-Vergleichsstudium zwischen zwei Kliniken zum Effekt einer kompetenzorientierten psychotherapeutischen Intervention auf Häufigkeit und Dauer von Fixierung und Isolierung.</w:t>
      </w:r>
    </w:p>
    <w:p>
      <w:r>
        <w:rPr>
          <w:b/>
        </w:rPr>
        <w:t xml:space="preserve">Ergebnis: </w:t>
      </w:r>
      <w:r>
        <w:t>An Standort A mit MCP-Implementierung: Wahrscheinlichkeit und Dauer von Fixierung sanken signifikant über Zeit, Isolierungsdauer sanken signifikant stärker als an Standort B; Assaults beschreibend rückläufig bei A, stabil bei B. Keine Indizien für erhöhtes Risiko; preliminary evidence für Machbarkeit und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(zwei Vitos-Standorte Hessen/Hessen); vergleichbar Qualitätsmessungen in Psychiatrie</w:t>
      </w:r>
    </w:p>
    <w:p>
      <w:r>
        <w:rPr>
          <w:color w:val="5A7D3A"/>
          <w:sz w:val="18"/>
        </w:rPr>
        <w:t>https://pubmed.ncbi.nlm.nih.gov/42557550/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