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Patientensicherheit</w:t>
      </w:r>
    </w:p>
    <w:p>
      <w:r>
        <w:rPr>
          <w:i/>
          <w:color w:val="666666"/>
          <w:sz w:val="18"/>
        </w:rPr>
        <w:t>Stand: 04.09.2026  |  66 Studien  |  safety.m-vf.de</w:t>
      </w:r>
    </w:p>
    <w:p>
      <w:pPr>
        <w:pStyle w:val="Heading1"/>
      </w:pPr>
      <w:r>
        <w:t>Aufgenommen am 04.09.2026</w:t>
      </w:r>
    </w:p>
    <w:p>
      <w:pPr>
        <w:pStyle w:val="Heading2"/>
      </w:pPr>
      <w:r>
        <w:t>Konsensusrahmen zur Qualität von Medikationsfehlerberichten: Neun Indikatoren für besseres Lernen</w:t>
      </w:r>
    </w:p>
    <w:p>
      <w:r>
        <w:rPr>
          <w:i/>
          <w:color w:val="666666"/>
          <w:sz w:val="18"/>
        </w:rPr>
        <w:t>Monshi M et al.  ·  BMJ Open  ·  02.09.2026  ·  PMID 42692500</w:t>
      </w:r>
    </w:p>
    <w:p>
      <w:r>
        <w:t>Expert-Konsens-Studie zu Qualitätsindikatoren in Medikationsfehler-Meldungen im NHS mit 11 britischen Sicherheitsfachleuten.</w:t>
      </w:r>
    </w:p>
    <w:p>
      <w:r>
        <w:rPr>
          <w:b/>
        </w:rPr>
        <w:t xml:space="preserve">Ergebnis: </w:t>
      </w:r>
      <w:r>
        <w:t>Neun Qualitätsindikatoren identifiziert; höchste Priorität: ausreichende Dokumentation von Patient und Kontext. Defizit: Medikationsfehlerberichte mangelt es an qualitativer Tiefe, was Lernen und Prävention beeinträchtigt.</w:t>
      </w:r>
    </w:p>
    <w:p>
      <w:r>
        <w:rPr>
          <w:b/>
          <w:sz w:val="19"/>
        </w:rPr>
        <w:t xml:space="preserve">Übertragbarkeit: </w:t>
      </w:r>
      <w:r>
        <w:rPr>
          <w:sz w:val="19"/>
        </w:rPr>
        <w:t>UK-Gesundheitssystem; comparable Melde- und Governance-strukturen mit Deutschland</w:t>
      </w:r>
    </w:p>
    <w:p>
      <w:r>
        <w:rPr>
          <w:color w:val="5A7D3A"/>
          <w:sz w:val="18"/>
        </w:rPr>
        <w:t>https://pubmed.ncbi.nlm.nih.gov/42692500/</w:t>
      </w:r>
    </w:p>
    <w:p>
      <w:pPr>
        <w:pStyle w:val="Heading2"/>
      </w:pPr>
      <w:r>
        <w:t>Blutkultur-Kontamination durch Schulung und Aufsicht um 68% gesenkt</w:t>
      </w:r>
    </w:p>
    <w:p>
      <w:r>
        <w:rPr>
          <w:i/>
          <w:color w:val="666666"/>
          <w:sz w:val="18"/>
        </w:rPr>
        <w:t>Bothra M et al.  ·  Natl Med J India  ·  Sept. 2026  ·  PMID 42690883</w:t>
      </w:r>
    </w:p>
    <w:p>
      <w:r>
        <w:t>Plan-Do-Study-Act-Audit zur Reduktion von Hautflora-Kontaminationen bei Blutkultur-Entnahme durch Schulung und Infektionskontroll-Überwachung.</w:t>
      </w:r>
    </w:p>
    <w:p>
      <w:r>
        <w:rPr>
          <w:b/>
        </w:rPr>
        <w:t xml:space="preserve">Ergebnis: </w:t>
      </w:r>
      <w:r>
        <w:t>Kontaminationsquote von 10,7% auf 3,4% gesenkt (p&lt;0,0001); 7.329 Blutkulturen untersucht (5.700 post-intervention). Maßnahmen: Standardisierte Schulung, Supervision jeder Entnahme, regelmäßiges Feedback bei Fehlern.</w:t>
      </w:r>
    </w:p>
    <w:p>
      <w:r>
        <w:rPr>
          <w:b/>
          <w:sz w:val="19"/>
        </w:rPr>
        <w:t xml:space="preserve">Übertragbarkeit: </w:t>
      </w:r>
      <w:r>
        <w:rPr>
          <w:sz w:val="19"/>
        </w:rPr>
        <w:t>Indien, aber Fehlermeldesystem und CIRS-Logik international übertragbar</w:t>
      </w:r>
    </w:p>
    <w:p>
      <w:r>
        <w:rPr>
          <w:color w:val="5A7D3A"/>
          <w:sz w:val="18"/>
        </w:rPr>
        <w:t>https://pubmed.ncbi.nlm.nih.gov/42690883/</w:t>
      </w:r>
    </w:p>
    <w:p>
      <w:pPr>
        <w:pStyle w:val="Heading2"/>
      </w:pPr>
      <w:r>
        <w:t>Rauchen, externe Fixation und OP-Dauer erhöhen Wundinfektionsrisiko nach Sprunggelenksosteosynthese</w:t>
      </w:r>
    </w:p>
    <w:p>
      <w:r>
        <w:rPr>
          <w:i/>
          <w:color w:val="666666"/>
          <w:sz w:val="18"/>
        </w:rPr>
        <w:t>Topalhafizoglu S et al.  ·  Acta Orthop  ·  03.09.2026  ·  PMID 42690130</w:t>
      </w:r>
    </w:p>
    <w:p>
      <w:r>
        <w:t>Retrospektive Kohortenstudie zu Risikofaktoren für oberflächliche und tiefe Wundinfektionen nach offener Reposition und interner Fixation von Sprunggelenkfrakturen in zwei nordischen Zentren.</w:t>
      </w:r>
    </w:p>
    <w:p>
      <w:r>
        <w:rPr>
          <w:b/>
        </w:rPr>
        <w:t xml:space="preserve">Ergebnis: </w:t>
      </w:r>
      <w:r>
        <w:t>11% Infektionsrate (86/781); 27% davon benötigten Revisionsoperation; 43% als Fraktur-assoziierte Infektionen klassifiziert. Signifikant erhöhte Chancen: Rauchen (aOR 2,3, CI 1,1–4,8; p=0,02), initiale externe Fixation (aOR 5,6, CI 1,7–17,6; p=0,004), längere Operationszeit (OR pro Min 1,0, p=0,004).</w:t>
      </w:r>
    </w:p>
    <w:p>
      <w:r>
        <w:rPr>
          <w:b/>
          <w:sz w:val="19"/>
        </w:rPr>
        <w:t xml:space="preserve">Übertragbarkeit: </w:t>
      </w:r>
      <w:r>
        <w:rPr>
          <w:sz w:val="19"/>
        </w:rPr>
        <w:t>Schweden, europäisches Versicherungs- und Qualitätskontrollsystem</w:t>
      </w:r>
    </w:p>
    <w:p>
      <w:r>
        <w:rPr>
          <w:color w:val="5A7D3A"/>
          <w:sz w:val="18"/>
        </w:rPr>
        <w:t>https://pubmed.ncbi.nlm.nih.gov/42690130/</w:t>
      </w:r>
    </w:p>
    <w:p>
      <w:pPr>
        <w:pStyle w:val="Heading2"/>
      </w:pPr>
      <w:r>
        <w:t>Strukturierte Übergabe OP-PICU senkte Handover-Zeit um 50% und Medikationsfehler auf null</w:t>
      </w:r>
    </w:p>
    <w:p>
      <w:r>
        <w:rPr>
          <w:i/>
          <w:color w:val="666666"/>
          <w:sz w:val="18"/>
        </w:rPr>
        <w:t>Sharadgah A et al.  ·  Nurs Crit Care  ·  Sept. 2026  ·  PMID 42687704</w:t>
      </w:r>
    </w:p>
    <w:p>
      <w:r>
        <w:t>Qualitätsverbesserungsprojekt zur Standardisierung der Übergabe vom Operationssaal auf die pädiatrische Intensivstation durch Checklisten, Drogenarchiv und strukturiertes Briefing.</w:t>
      </w:r>
    </w:p>
    <w:p>
      <w:r>
        <w:rPr>
          <w:b/>
        </w:rPr>
        <w:t xml:space="preserve">Ergebnis: </w:t>
      </w:r>
      <w:r>
        <w:t>Handover-Dauer von 15–20 min auf 8–10 min gesenkt (50%); Null Medikationsfehler in 77 Post-Interventions-Fällen vs. 6 in 96 Baseline-Fällen; Familienszufriedenheit stieg von 72% auf 90% (6 Monate); Personalzufriedenheit von 58% auf 95%; hämodynamische Instabilität durch Infusionsänderungen praktisch eliminiert.</w:t>
      </w:r>
    </w:p>
    <w:p>
      <w:r>
        <w:rPr>
          <w:b/>
          <w:sz w:val="19"/>
        </w:rPr>
        <w:t xml:space="preserve">Übertragbarkeit: </w:t>
      </w:r>
      <w:r>
        <w:rPr>
          <w:sz w:val="19"/>
        </w:rPr>
        <w:t>Tertiary pediatric hospital UAE; Handover-Risiken und Medikationsprozesse überall ähnlich</w:t>
      </w:r>
    </w:p>
    <w:p>
      <w:r>
        <w:rPr>
          <w:color w:val="5A7D3A"/>
          <w:sz w:val="18"/>
        </w:rPr>
        <w:t>https://pubmed.ncbi.nlm.nih.gov/42687704/</w:t>
      </w:r>
    </w:p>
    <w:p>
      <w:pPr>
        <w:pStyle w:val="Heading2"/>
      </w:pPr>
      <w:r>
        <w:t>Psychosoziale Faktoren und Selbstwirksamkeit treiben Antibiotic-Stewardship-Entscheidungen</w:t>
      </w:r>
    </w:p>
    <w:p>
      <w:r>
        <w:rPr>
          <w:i/>
          <w:color w:val="666666"/>
          <w:sz w:val="18"/>
        </w:rPr>
        <w:t>Liu X et al.  ·  Sci Rep  ·  13.08.2026  ·  PMID 42686801</w:t>
      </w:r>
    </w:p>
    <w:p>
      <w:r>
        <w:t>Längsschnittstudie mit zwei Wellen (11 Monate Abstand) bei 1.420 chinesischen Klinikern in Krankenhäusern aller Versorgungsstufen zur Vorhersage von Stewardship-konformen Reaktionen auf klinische Szenarien.</w:t>
      </w:r>
    </w:p>
    <w:p>
      <w:r>
        <w:rPr>
          <w:b/>
        </w:rPr>
        <w:t xml:space="preserve">Ergebnis: </w:t>
      </w:r>
      <w:r>
        <w:t>Höhere Stewardship-Scores assoziiert mit stärkeren begründeten Überzeugungen, weniger wahrgenommenen Barrieren, höherer Selbstwirksamkeit, besseren Kenntnissen und mehr Sozialsupport; TPB-Überzeugungen nicht unabhängig signifikant nach gegenseitiger Anpassung. Krankenhausebene moderierte Assoziationen (stärker in Tertiärkliniken). Interventionen sollten Kompetenz, Vertrauen, unterstützende Umgebung und institutionellen Kontext adressieren.</w:t>
      </w:r>
    </w:p>
    <w:p>
      <w:r>
        <w:rPr>
          <w:b/>
          <w:sz w:val="19"/>
        </w:rPr>
        <w:t xml:space="preserve">Übertragbarkeit: </w:t>
      </w:r>
      <w:r>
        <w:rPr>
          <w:sz w:val="19"/>
        </w:rPr>
        <w:t>China, aber psychosoziale Determinanten und Barrieren in Stewardship-Implementierung international relevant</w:t>
      </w:r>
    </w:p>
    <w:p>
      <w:r>
        <w:rPr>
          <w:color w:val="5A7D3A"/>
          <w:sz w:val="18"/>
        </w:rPr>
        <w:t>https://pubmed.ncbi.nlm.nih.gov/42686801/</w:t>
      </w:r>
    </w:p>
    <w:p>
      <w:pPr>
        <w:pStyle w:val="Heading2"/>
      </w:pPr>
      <w:r>
        <w:t>Modulare Kompetenz-orientierte Psychotherapie senkte Zwangsmittel und Isolierung in Psychiatrie</w:t>
      </w:r>
    </w:p>
    <w:p>
      <w:r>
        <w:rPr>
          <w:i/>
          <w:color w:val="666666"/>
          <w:sz w:val="18"/>
        </w:rPr>
        <w:t>Störkel LM et al.  ·  BMC Psychiatry  ·  05.08.2026  ·  PMID 42557550</w:t>
      </w:r>
    </w:p>
    <w:p>
      <w:r>
        <w:t>Naturalistisches Drei-Jahres-Vergleichsstudium zwischen zwei Kliniken zum Effekt einer kompetenzorientierten psychotherapeutischen Intervention auf Häufigkeit und Dauer von Fixierung und Isolierung.</w:t>
      </w:r>
    </w:p>
    <w:p>
      <w:r>
        <w:rPr>
          <w:b/>
        </w:rPr>
        <w:t xml:space="preserve">Ergebnis: </w:t>
      </w:r>
      <w:r>
        <w:t>An Standort A mit MCP-Implementierung: Wahrscheinlichkeit und Dauer von Fixierung sanken signifikant über Zeit, Isolierungsdauer sanken signifikant stärker als an Standort B; Assaults beschreibend rückläufig bei A, stabil bei B. Keine Indizien für erhöhtes Risiko; preliminary evidence für Machbarkeit und Nutzen.</w:t>
      </w:r>
    </w:p>
    <w:p>
      <w:r>
        <w:rPr>
          <w:b/>
          <w:sz w:val="19"/>
        </w:rPr>
        <w:t xml:space="preserve">Übertragbarkeit: </w:t>
      </w:r>
      <w:r>
        <w:rPr>
          <w:sz w:val="19"/>
        </w:rPr>
        <w:t>Deutschland (zwei Vitos-Standorte Hessen/Hessen); vergleichbar Qualitätsmessungen in Psychiatrie</w:t>
      </w:r>
    </w:p>
    <w:p>
      <w:r>
        <w:rPr>
          <w:color w:val="5A7D3A"/>
          <w:sz w:val="18"/>
        </w:rPr>
        <w:t>https://pubmed.ncbi.nlm.nih.gov/42557550/</w:t>
      </w:r>
    </w:p>
    <w:p>
      <w:pPr>
        <w:pStyle w:val="Heading1"/>
      </w:pPr>
      <w:r>
        <w:t>Aufgenommen am 03.09.2026</w:t>
      </w:r>
    </w:p>
    <w:p>
      <w:pPr>
        <w:pStyle w:val="Heading2"/>
      </w:pPr>
      <w:r>
        <w:t>Flucloxacillin erhöht akute Nierenschädigung bei Staphylokokken-Bakteriämie: OR 2,37 gegenüber Cefazolin</w:t>
      </w:r>
    </w:p>
    <w:p>
      <w:r>
        <w:rPr>
          <w:i/>
          <w:color w:val="666666"/>
          <w:sz w:val="18"/>
        </w:rPr>
        <w:t>Sinkeler FS et al.  ·  J Antimicrob Chemother  ·  01.09.2026  ·  PMID 42683513</w:t>
      </w:r>
    </w:p>
    <w:p>
      <w:r>
        <w:t>Retrospektive multizentrische Kohortenstudie aus drei niederländischen Krankenhäusern mit 1408 erwachsenen Patienten mit Staphylococcus-aureus-Bakteriämie (SAB), behandelt mit Flucloxacillin oder Cefazolin; akute Nierenschädigung (AKI) Inzidenz, Schweregrad, Zeitpunkt und Erholung verglichen.</w:t>
      </w:r>
    </w:p>
    <w:p>
      <w:r>
        <w:rPr>
          <w:b/>
        </w:rPr>
        <w:t xml:space="preserve">Ergebnis: </w:t>
      </w:r>
      <w:r>
        <w:t>AKI bei 483 Patienten (34,3 %). Größere AKI-Häufigkeit unter Flucloxacillin (466/1324 [35,2 %] vs. 17/84 [20,2 %]; p=0,004). Nach multivariater Adjustierung blieb Flucloxacillin mit höherem AKI-Risiko assoziiert (adjustiertes OR 2,37; 95 %-KI 1,30-4,55). Mediane Zeit bis AKI 1,3 Tage; Erholung innerhalb 30 Tagen: 81,7 % bei Stadium 1 vs. 50,5 % bei Stadium 3. Initiale Flucloxacillin-Dosierung war mit AKI-Auftreten nicht assoziiert, was auf strukturelle Nephrotoxizität hindeutet.</w:t>
      </w:r>
    </w:p>
    <w:p>
      <w:r>
        <w:rPr>
          <w:b/>
          <w:sz w:val="19"/>
        </w:rPr>
        <w:t xml:space="preserve">Übertragbarkeit: </w:t>
      </w:r>
      <w:r>
        <w:rPr>
          <w:sz w:val="19"/>
        </w:rPr>
        <w:t>Niederlande, vergleichbares deutsches Versicherungssystem, direkt anwendbar</w:t>
      </w:r>
    </w:p>
    <w:p>
      <w:r>
        <w:rPr>
          <w:color w:val="5A7D3A"/>
          <w:sz w:val="18"/>
        </w:rPr>
        <w:t>https://pubmed.ncbi.nlm.nih.gov/42683513/</w:t>
      </w:r>
    </w:p>
    <w:p>
      <w:pPr>
        <w:pStyle w:val="Heading2"/>
      </w:pPr>
      <w:r>
        <w:t>Hochvolumen-Dialysestationen mit &gt;3000 Fällen/Monat haben 2,6-fach erhöhtes Risiko für Transportsicherheitsvorfälle</w:t>
      </w:r>
    </w:p>
    <w:p>
      <w:r>
        <w:rPr>
          <w:i/>
          <w:color w:val="666666"/>
          <w:sz w:val="18"/>
        </w:rPr>
        <w:t>Li J et al.  ·  Front Public Health  ·  18.08.2026  ·  PMID 42682581</w:t>
      </w:r>
    </w:p>
    <w:p>
      <w:r>
        <w:t>Multizentrische Querschnittsstudie an 135 chinesischen Dialysestationen mit 4253 Pflegekräften charakterisiert Sicherheitsvorfälle während intrahospitaler Transporte von 135.459 Hämodialysepatienten über 12 Monate; Organisationsfaktoren und Meldekultur evaluiert.</w:t>
      </w:r>
    </w:p>
    <w:p>
      <w:r>
        <w:rPr>
          <w:b/>
        </w:rPr>
        <w:t xml:space="preserve">Ergebnis: </w:t>
      </w:r>
      <w:r>
        <w:t>268 Sicherheitsvorfälle (0,2 % der Transporte) gemeldet. Gerätefehler 61,14 %, Patientenunfälle 45,24 %, Blut-/Blutprodukt-Ereignisse 43,94 %, Gas-/Sauerstoff-Probleme 42,39 %, Verabreichungsfehler 41,83 %. Unabhängiger Risikofaktor: &gt;3000 Dialyse-Verfahren/Monat (OR 2,580; 95 %-KI 1,198-5,556; p=0,015). Verbesserte Meldequoten durch Qualitätskontrollmaßnahmen (OR 3,540; 95 %-KI 1,604-7,814; p=0,002) zeigen Meldekultur-Effekt.</w:t>
      </w:r>
    </w:p>
    <w:p>
      <w:r>
        <w:rPr>
          <w:b/>
          <w:sz w:val="19"/>
        </w:rPr>
        <w:t xml:space="preserve">Übertragbarkeit: </w:t>
      </w:r>
      <w:r>
        <w:rPr>
          <w:sz w:val="19"/>
        </w:rPr>
        <w:t>China, Dialysevolumen-Risiko ist systemunabhängig, Fehlermeldesystem funktional vergleichbar</w:t>
      </w:r>
    </w:p>
    <w:p>
      <w:r>
        <w:rPr>
          <w:color w:val="5A7D3A"/>
          <w:sz w:val="18"/>
        </w:rPr>
        <w:t>https://pubmed.ncbi.nlm.nih.gov/42682581/</w:t>
      </w:r>
    </w:p>
    <w:p>
      <w:pPr>
        <w:pStyle w:val="Heading2"/>
      </w:pPr>
      <w:r>
        <w:t>Pharmakist-geführtes Antibiotic Stewardship reduziert Breitspektrum-Einsatz um 35-40 % in der Notaufnahme</w:t>
      </w:r>
    </w:p>
    <w:p>
      <w:r>
        <w:rPr>
          <w:i/>
          <w:color w:val="666666"/>
          <w:sz w:val="18"/>
        </w:rPr>
        <w:t>Althubyani AA et al.  ·  J Am Coll Clin Pharm  ·  Sept. 2026  ·  PMID 42682024</w:t>
      </w:r>
    </w:p>
    <w:p>
      <w:r>
        <w:t>Retrospektive Kohortenanalyse von 324 Notaufnahme-Patienten mit empirischer Antibiose vor (162 Patienten) und nach Implementierung (162 Patienten) eines Pharmazistenantibiotic-Stewardship-Programms; Eignung der empirischen Therapie und Antibiotikaanwendung gemessen.</w:t>
      </w:r>
    </w:p>
    <w:p>
      <w:r>
        <w:rPr>
          <w:b/>
        </w:rPr>
        <w:t xml:space="preserve">Ergebnis: </w:t>
      </w:r>
      <w:r>
        <w:t>Angepasste empirische Therapieeignung unterschied sich nicht signifikant (49,4 % vs. 53,7 %; p=0,44). Aber signifikante Reduktion unnötiger Pseudomonasabdeckung (54,9 % vs. 35,2 %; p&lt;0,001), MRSA-Abdeckung (23,5 % vs. 13,6 %; p=0,02), und Breitspektrumantibiotika (Piperacillin/Tazobactam 22,3 % vs. 14,5 %; p=0,02). Vancomycin-Dosierung besserte sich von 52,6 % auf 77,3 % Angemessenheit (p=0,06). Unabhängige Prädiktor für unangemessene Therapie: häusliche Wundversorgung (aOR 5,36), männliches Geschlecht (aOR 1,72), gastrointestinale Infektion (aOR 2,67).</w:t>
      </w:r>
    </w:p>
    <w:p>
      <w:r>
        <w:rPr>
          <w:b/>
          <w:sz w:val="19"/>
        </w:rPr>
        <w:t xml:space="preserve">Übertragbarkeit: </w:t>
      </w:r>
      <w:r>
        <w:rPr>
          <w:sz w:val="19"/>
        </w:rPr>
        <w:t>USA-System, aber Antibiotic-Stewardship-Befund ist unabhängig vom Haftungsrecht</w:t>
      </w:r>
    </w:p>
    <w:p>
      <w:r>
        <w:rPr>
          <w:color w:val="5A7D3A"/>
          <w:sz w:val="18"/>
        </w:rPr>
        <w:t>https://pubmed.ncbi.nlm.nih.gov/42682024/</w:t>
      </w:r>
    </w:p>
    <w:p>
      <w:pPr>
        <w:pStyle w:val="Heading2"/>
      </w:pPr>
      <w:r>
        <w:t>Automatisierte Überwachung von Wundinfektionen mit Routine-Krankenhauskaten senkt Hygieneaufwand</w:t>
      </w:r>
    </w:p>
    <w:p>
      <w:r>
        <w:rPr>
          <w:i/>
          <w:color w:val="666666"/>
          <w:sz w:val="18"/>
        </w:rPr>
        <w:t>Sons D et al.  ·  Antimicrob Resist Infect Control  ·  31.08.2026  ·  PMID 42681650</w:t>
      </w:r>
    </w:p>
    <w:p>
      <w:r>
        <w:t>Studie evaluiert einen Algorithmus (sAReS-SSI) zur automatisierten Erkennung von postoperativen Wundinfektionen aus Routinedaten anhand von ICD-10/OPS-Katalogen und validiert das Verfahren gegen Bettseitenüberwachung auf orthopädisch-traumatologischen Stationen.</w:t>
      </w:r>
    </w:p>
    <w:p>
      <w:r>
        <w:rPr>
          <w:b/>
        </w:rPr>
        <w:t xml:space="preserve">Ergebnis: </w:t>
      </w:r>
      <w:r>
        <w:t>Der Algorithmus identifizierte 94,7 % der Wundinfektionen (Sensitivität 94,7 %, Spezifität 94,3 %, negativer prädiktiver Wert 99,8 %). Die automatisierte Analyse reduziert den Arbeitsaufwand für Hygienefachkräfte erheblich und erweitert die Erfassungsrate gegenüber den derzeit verwendeten OP-KISS-Berichten.</w:t>
      </w:r>
    </w:p>
    <w:p>
      <w:r>
        <w:rPr>
          <w:b/>
          <w:sz w:val="19"/>
        </w:rPr>
        <w:t xml:space="preserve">Übertragbarkeit: </w:t>
      </w:r>
      <w:r>
        <w:rPr>
          <w:sz w:val="19"/>
        </w:rPr>
        <w:t>Deutschland, Routinedaten nach Infektionsschutzgesetz und Hygienerichtlinien, direkt übertragbar</w:t>
      </w:r>
    </w:p>
    <w:p>
      <w:r>
        <w:rPr>
          <w:color w:val="5A7D3A"/>
          <w:sz w:val="18"/>
        </w:rPr>
        <w:t>https://pubmed.ncbi.nlm.nih.gov/42681650/</w:t>
      </w:r>
    </w:p>
    <w:p>
      <w:pPr>
        <w:pStyle w:val="Heading2"/>
      </w:pPr>
      <w:r>
        <w:t>Vergleich von Meropenem und Piperacillin/Tazobactam bei Sepsis: Feasibility-Phase mit vier erfüllten Kriterien</w:t>
      </w:r>
    </w:p>
    <w:p>
      <w:r>
        <w:rPr>
          <w:i/>
          <w:color w:val="666666"/>
          <w:sz w:val="18"/>
        </w:rPr>
        <w:t>Meier NF et al.  ·  Acta Anaesthesiol Scand  ·  Okt. 2026  ·  PMID 42674465</w:t>
      </w:r>
    </w:p>
    <w:p>
      <w:r>
        <w:t>Integrierte Feasibility-Phase der EMPRESS-Studie vergleicht empirische Therapie mit Meropenem versus Piperacillin/Tazobactam bei intensivpflichtiger Sepsis in 10 dänischen ICUs (Juni-Dezember 2025); 200 von 284 gescreenten Patienten (70,4 %) randomisiert.</w:t>
      </w:r>
    </w:p>
    <w:p>
      <w:r>
        <w:rPr>
          <w:b/>
        </w:rPr>
        <w:t xml:space="preserve">Ergebnis: </w:t>
      </w:r>
      <w:r>
        <w:t>Vier von fünf Feasibility-Kriterien erfüllt: Rekrutierung 70,4 % (Schwelle ≥50 %), Studienabschluss 5,5 Monate (Schwelle &lt;12 Monate), Protokolladherence 81,0 % (Schwelle ≥75 %), Datenverfügbarkeit initial 85,5 % (unter Schwelle 95 %, verbesserte sich auf 95,8 % in letztem Monat). 30-Tages-Mortalität 30,5 %, schwere unerwünschte Reaktionen 4,0 %. Studie wird ohne Änderungen fortgesetzt.</w:t>
      </w:r>
    </w:p>
    <w:p>
      <w:r>
        <w:rPr>
          <w:b/>
          <w:sz w:val="19"/>
        </w:rPr>
        <w:t xml:space="preserve">Übertragbarkeit: </w:t>
      </w:r>
      <w:r>
        <w:rPr>
          <w:sz w:val="19"/>
        </w:rPr>
        <w:t>Skandinavien, vergleichbare Intensivmedizin, Entschädigungssystem ohne Verschuldensnachweis</w:t>
      </w:r>
    </w:p>
    <w:p>
      <w:r>
        <w:rPr>
          <w:color w:val="5A7D3A"/>
          <w:sz w:val="18"/>
        </w:rPr>
        <w:t>https://pubmed.ncbi.nlm.nih.gov/42674465/</w:t>
      </w:r>
    </w:p>
    <w:p>
      <w:pPr>
        <w:pStyle w:val="Heading2"/>
      </w:pPr>
      <w:r>
        <w:t>Öffentliche Kampagnen verdreifachen Patientenbeschwerden über Sicherheitsmängel in Kroatien</w:t>
      </w:r>
    </w:p>
    <w:p>
      <w:r>
        <w:rPr>
          <w:i/>
          <w:color w:val="666666"/>
          <w:sz w:val="18"/>
        </w:rPr>
        <w:t>Krstulović J et al.  ·  Croat Med J  ·  31.08.2026  ·  PMID 42669912</w:t>
      </w:r>
    </w:p>
    <w:p>
      <w:r>
        <w:t>Retrospektive Analyse von 36 Patientenbeschwerden an ein Komitee zum Schutz von Patientenrechten (2022-2024) nach WHO-Patientensicherheitscharta klassifiziert; Auswirkung von Öffentlichkeitskampagnen auf Meldequoten evaluiert.</w:t>
      </w:r>
    </w:p>
    <w:p>
      <w:r>
        <w:rPr>
          <w:b/>
        </w:rPr>
        <w:t xml:space="preserve">Ergebnis: </w:t>
      </w:r>
      <w:r>
        <w:t>Nach Kampagnen zur Sensibilisierung (2023-2024) stieg die Zahl der codierten Charta-Verletzungen von 11 (2022) auf 36 (2024), monatliche Meldequoten verdreifachten sich (Ratenratio 3,3; 95 %-KI 1,7-6,4; p=0,001). Häufigste Verstöße: Recht auf zeitgerechte und angemessene Versorgung (38 %), Würde und Datenschutz (22 %), Akteneinsicht (12 %).</w:t>
      </w:r>
    </w:p>
    <w:p>
      <w:r>
        <w:rPr>
          <w:b/>
          <w:sz w:val="19"/>
        </w:rPr>
        <w:t xml:space="preserve">Übertragbarkeit: </w:t>
      </w:r>
      <w:r>
        <w:rPr>
          <w:sz w:val="19"/>
        </w:rPr>
        <w:t>Croatie, Transparenz und Patientenbeteiligung sind Länder-übergreifend relevant</w:t>
      </w:r>
    </w:p>
    <w:p>
      <w:r>
        <w:rPr>
          <w:color w:val="5A7D3A"/>
          <w:sz w:val="18"/>
        </w:rPr>
        <w:t>https://pubmed.ncbi.nlm.nih.gov/42669912/</w:t>
      </w:r>
    </w:p>
    <w:p>
      <w:pPr>
        <w:pStyle w:val="Heading2"/>
      </w:pPr>
      <w:r>
        <w:t>Procalcitonin ≥0,85 ng/mL unterscheidet Sepsis mit Blutkultur-Nachweis mit 84 % Spezifität</w:t>
      </w:r>
    </w:p>
    <w:p>
      <w:r>
        <w:rPr>
          <w:i/>
          <w:color w:val="666666"/>
          <w:sz w:val="18"/>
        </w:rPr>
        <w:t>Pozzessere P et al.  ·  Medicina (Kaunas)  ·  20.07.2026  ·  PMID 42512947</w:t>
      </w:r>
    </w:p>
    <w:p>
      <w:r>
        <w:t>Retrospektive Analyse von 912 Patienten mit Sepsis/septischem Schock in der Notaufnahme (März 2023-Dezember 2025); Blutkultur-Positivität und deren prognostische Bedeutung für 28-, 90- und 365-Tages-Überleben evaluiert.</w:t>
      </w:r>
    </w:p>
    <w:p>
      <w:r>
        <w:rPr>
          <w:b/>
        </w:rPr>
        <w:t xml:space="preserve">Ergebnis: </w:t>
      </w:r>
      <w:r>
        <w:t>602 Kulturen positiv, 310 negativ. Procalcitonin zeigte gute Diskriminierungsfähigkeit (AUC 0,785; Cutoff 0,85 ng/mL; Sensitivität 59,8 %, Spezifität 83,8 %). Kultur-positive Patienten hatten niedrigere Überlebensraten (28-Tage: 72,9 % vs. 85,9 %; 365-Tage: 44,3 % vs. 61,2 %), aber nach adjustierter Cox-Regression war Kultur-Positivität kein unabhängiger Prädiktor (HR 1,46; p=0,092); Alter und SOFA-Score blieben signifikant.</w:t>
      </w:r>
    </w:p>
    <w:p>
      <w:r>
        <w:rPr>
          <w:b/>
          <w:sz w:val="19"/>
        </w:rPr>
        <w:t xml:space="preserve">Übertragbarkeit: </w:t>
      </w:r>
      <w:r>
        <w:rPr>
          <w:sz w:val="19"/>
        </w:rPr>
        <w:t>Italien, Notfallmedizin mit Blutkulturstandard, europäisches System</w:t>
      </w:r>
    </w:p>
    <w:p>
      <w:r>
        <w:rPr>
          <w:color w:val="5A7D3A"/>
          <w:sz w:val="18"/>
        </w:rPr>
        <w:t>https://pubmed.ncbi.nlm.nih.gov/42512947/</w:t>
      </w:r>
    </w:p>
    <w:p>
      <w:pPr>
        <w:pStyle w:val="Heading1"/>
      </w:pPr>
      <w:r>
        <w:t>Aufgenommen am 02.09.2026</w:t>
      </w:r>
    </w:p>
    <w:p>
      <w:pPr>
        <w:pStyle w:val="Heading2"/>
      </w:pPr>
      <w:r>
        <w:t>Infektionsprävention: Mangelhafte Gesamtausstattung und Zeitdruck hindern Pflegekräfte an Einhaltung von COVID-19-Schutzmaßnahmen</w:t>
      </w:r>
    </w:p>
    <w:p>
      <w:r>
        <w:rPr>
          <w:i/>
          <w:color w:val="666666"/>
          <w:sz w:val="18"/>
        </w:rPr>
        <w:t>Houghton C et al.  ·  Cochrane Database Syst Rev  ·  01.09.2026  ·  PMID 42677895</w:t>
      </w:r>
    </w:p>
    <w:p>
      <w:r>
        <w:t>Systematischer Review mit qualitativer Evidenz-Synthese aus 26 Studien (davon 7 aus wohlhabenden Ländern) zu Faktoren, die Einhaltung von Infektionsschutzrichtlinien durch Fachpersonal beeinflussen.</w:t>
      </w:r>
    </w:p>
    <w:p>
      <w:r>
        <w:rPr>
          <w:b/>
        </w:rPr>
        <w:t xml:space="preserve">Ergebnis: </w:t>
      </w:r>
      <w:r>
        <w:t>Strukturierte Ergebnisse mit unterschiedlicher Konfidenz: Hohe Konfidenz (n=12 Befunde) – Managementunterstützung, klare Richtlinien-Kommunikation und Schulung fördern Einhaltung; Zeitdruck, Personalmangel und PPE-Mangel behindern sie. Mittlere Konfidenz (n=12), niedrige (n=3). 27 Faktoren insgesamt benannt.</w:t>
      </w:r>
    </w:p>
    <w:p>
      <w:r>
        <w:rPr>
          <w:b/>
          <w:sz w:val="19"/>
        </w:rPr>
        <w:t xml:space="preserve">Übertragbarkeit: </w:t>
      </w:r>
      <w:r>
        <w:rPr>
          <w:sz w:val="19"/>
        </w:rPr>
        <w:t>26 Studien mit globaler Abdeckung (Asien, Afrika, Europa); größtenteils 2020–2024 während Pandemie.</w:t>
      </w:r>
    </w:p>
    <w:p>
      <w:r>
        <w:rPr>
          <w:color w:val="5A7D3A"/>
          <w:sz w:val="18"/>
        </w:rPr>
        <w:t>https://pubmed.ncbi.nlm.nih.gov/42677895/</w:t>
      </w:r>
    </w:p>
    <w:p>
      <w:pPr>
        <w:pStyle w:val="Heading2"/>
      </w:pPr>
      <w:r>
        <w:t>Apotheker-Stewardship erhöht Antibiotika-Angemessenheit bei Kindern mit Pneumonie von 60% auf 87%</w:t>
      </w:r>
    </w:p>
    <w:p>
      <w:r>
        <w:rPr>
          <w:i/>
          <w:color w:val="666666"/>
          <w:sz w:val="18"/>
        </w:rPr>
        <w:t>Nguyen T et al.  ·  J Am Coll Clin Pharm  ·  Sept. 2026  ·  PMID 42676278</w:t>
      </w:r>
    </w:p>
    <w:p>
      <w:r>
        <w:t>Quasi-experimentelle Vorher-Nachher-Studie in Vietnam mit 560 Kindern (280 vor, 280 nach Intervention), die einen pharmazeutisch geleiteten Antibiotic-Stewardship-Einsatz mit Schulung und Audit evaluierte.</w:t>
      </w:r>
    </w:p>
    <w:p>
      <w:r>
        <w:rPr>
          <w:b/>
        </w:rPr>
        <w:t xml:space="preserve">Ergebnis: </w:t>
      </w:r>
      <w:r>
        <w:t>Gesamtangemessenheit stieg von 60,36% auf 86,79% (p&lt;0,001; Δ=26,4 Prozentpunkte). Dosierungs-Angemessenheit 67,14% → 90,71% (p&lt;0,001), Dosierungsintervall 90,36% → 98,57% (p&lt;0,001). Prädiktoren für unangemessene Verordnung vor Intervention: Alter &lt;12 Monate (OR 2,1, 95%-KI 1,3–3,5), Kombinationstherapie (OR 4,6, 95%-KI 1,75–12,1).</w:t>
      </w:r>
    </w:p>
    <w:p>
      <w:r>
        <w:rPr>
          <w:b/>
          <w:sz w:val="19"/>
        </w:rPr>
        <w:t xml:space="preserve">Übertragbarkeit: </w:t>
      </w:r>
      <w:r>
        <w:rPr>
          <w:sz w:val="19"/>
        </w:rPr>
        <w:t>Vietnam (Mittel-/Niedrigeinkommen-Land), struktur-kulturelle Unterschiede; Sicherheits-Intervention breit übertragbar.</w:t>
      </w:r>
    </w:p>
    <w:p>
      <w:r>
        <w:rPr>
          <w:color w:val="5A7D3A"/>
          <w:sz w:val="18"/>
        </w:rPr>
        <w:t>https://pubmed.ncbi.nlm.nih.gov/42676278/</w:t>
      </w:r>
    </w:p>
    <w:p>
      <w:pPr>
        <w:pStyle w:val="Heading2"/>
      </w:pPr>
      <w:r>
        <w:t>Multiresistente Klebsiella pneumoniae: Nosokomialer Infektionsanstieg in Polen um das 50-Fache</w:t>
      </w:r>
    </w:p>
    <w:p>
      <w:r>
        <w:rPr>
          <w:i/>
          <w:color w:val="666666"/>
          <w:sz w:val="18"/>
        </w:rPr>
        <w:t>Filipkowska M et al.  ·  Front Cell Infect Microbiol  ·  30.07.2026  ·  PMID 42597730</w:t>
      </w:r>
    </w:p>
    <w:p>
      <w:r>
        <w:t>Beobachtungsstudie mit Aggregatdaten aller polnischen ITS von 2019–2023, die Risikoänderungen für nosokomialen Infektionen mit Methicillin-resistenten und anderen multiresistenten Erregern mittels standardisierter Infektionsrate (SIR) evaluierte.</w:t>
      </w:r>
    </w:p>
    <w:p>
      <w:r>
        <w:rPr>
          <w:b/>
        </w:rPr>
        <w:t xml:space="preserve">Ergebnis: </w:t>
      </w:r>
      <w:r>
        <w:t>MBL/NDM-produzierende K. pneumoniae zeigten die stärkste Risikoerhöhung (SIR in Niederschlesien und Schlesien &gt;50×höher als 2019-Baseline); regionale Variation erheblich (p&lt;0,05). E. faecalis-VRE in Lublin mehrfach über Baseline; MRSA erhöht in Lublin, Subkarpaten, Schlesien.</w:t>
      </w:r>
    </w:p>
    <w:p>
      <w:r>
        <w:rPr>
          <w:b/>
          <w:sz w:val="19"/>
        </w:rPr>
        <w:t xml:space="preserve">Übertragbarkeit: </w:t>
      </w:r>
      <w:r>
        <w:rPr>
          <w:sz w:val="19"/>
        </w:rPr>
        <w:t>Polen, europa-nächst an Deutschland; öffentlicher Gesundheitsdienst und Meldepflichten ähnlich.</w:t>
      </w:r>
    </w:p>
    <w:p>
      <w:r>
        <w:rPr>
          <w:color w:val="5A7D3A"/>
          <w:sz w:val="18"/>
        </w:rPr>
        <w:t>https://pubmed.ncbi.nlm.nih.gov/42597730/</w:t>
      </w:r>
    </w:p>
    <w:p>
      <w:pPr>
        <w:pStyle w:val="Heading2"/>
      </w:pPr>
      <w:r>
        <w:t>Terminal-Komplement-Inhibition verstärkt Nierenversagen und Blutungsrisiko bei septischem Schock</w:t>
      </w:r>
    </w:p>
    <w:p>
      <w:r>
        <w:rPr>
          <w:i/>
          <w:color w:val="666666"/>
          <w:sz w:val="18"/>
        </w:rPr>
        <w:t>Vahldieck C et al.  ·  J Crit Care  ·  29.07.2026  ·  PMID 42526359</w:t>
      </w:r>
    </w:p>
    <w:p>
      <w:r>
        <w:t>Propensity-Score-adjustierte Kohorten-Studie mit 1.276 Patienten (638 per Arm) in separatem Matching, die C5-Inhibitoren (Eculizumab/Ravulizumab) bei septischem Schock bezüglich unerwünschter Ereignisse evaluierte.</w:t>
      </w:r>
    </w:p>
    <w:p>
      <w:r>
        <w:rPr>
          <w:b/>
        </w:rPr>
        <w:t xml:space="preserve">Ergebnis: </w:t>
      </w:r>
      <w:r>
        <w:t>Unter Komplement-Inhibition: Thrombozytopenie 20,3% vs. 8,9% (p&lt;0,001), akutes Nierenversagen 25,0% vs. 13,3% (p&lt;0,001), thrombotische Ereignisse 7,8% vs. 4,7% (p=0,021). Nierenersatztherapie 8,3% vs. 5,1% (p=0,026). 30-Tage-Mortalität ohne signifikanten Unterschied (nicht berichtet).</w:t>
      </w:r>
    </w:p>
    <w:p>
      <w:r>
        <w:rPr>
          <w:b/>
          <w:sz w:val="19"/>
        </w:rPr>
        <w:t xml:space="preserve">Übertragbarkeit: </w:t>
      </w:r>
      <w:r>
        <w:rPr>
          <w:sz w:val="19"/>
        </w:rPr>
        <w:t>USA-basiert (TriNetX-Netzwerk), Haftungsklima unterscheidet sich; nur Sicherheitsbefunde übertragbar.</w:t>
      </w:r>
    </w:p>
    <w:p>
      <w:r>
        <w:rPr>
          <w:color w:val="5A7D3A"/>
          <w:sz w:val="18"/>
        </w:rPr>
        <w:t>https://pubmed.ncbi.nlm.nih.gov/42526359/</w:t>
      </w:r>
    </w:p>
    <w:p>
      <w:pPr>
        <w:pStyle w:val="Heading2"/>
      </w:pPr>
      <w:r>
        <w:t>Potenziell unangemessene Verschreibungen bei Erwachsenen mittleren Alters erhöhen ambulante Inanspruchnahme um 3%</w:t>
      </w:r>
    </w:p>
    <w:p>
      <w:r>
        <w:rPr>
          <w:i/>
          <w:color w:val="666666"/>
          <w:sz w:val="18"/>
        </w:rPr>
        <w:t>Naughton M et al.  ·  BMJ Open  ·  27.07.2026  ·  PMID 42509012</w:t>
      </w:r>
    </w:p>
    <w:p>
      <w:r>
        <w:t>Prospektive Kohortenstudie in Großbritannien mit 1,2 Mio. Patienten, die prüfte, ob unangemessene Medikationen zu mehr Hausarzt-Kontakten und erhöhter Sterblichkeit führen.</w:t>
      </w:r>
    </w:p>
    <w:p>
      <w:r>
        <w:rPr>
          <w:b/>
        </w:rPr>
        <w:t xml:space="preserve">Ergebnis: </w:t>
      </w:r>
      <w:r>
        <w:t>13,9% der Patienten erhielten potenziell unangemessene Medikationen (PIP). Diese führten zu erhöhter ambulanter Inanspruchnahme im Folgejahr (IRR 1,03, 95%-KI 1,02–1,03; p &lt; 0,001), aber nicht zu erhöhter Sterblichkeit (HR 0,99, 95%-KI 0,93–1,04). Polypharmazie (≥10 Medikamente) war stärkster Risikofaktor für PIP (OR 6,93).</w:t>
      </w:r>
    </w:p>
    <w:p>
      <w:r>
        <w:rPr>
          <w:b/>
          <w:sz w:val="19"/>
        </w:rPr>
        <w:t xml:space="preserve">Übertragbarkeit: </w:t>
      </w:r>
      <w:r>
        <w:rPr>
          <w:sz w:val="19"/>
        </w:rPr>
        <w:t>Großbritannien mit vergleichbarem ambulanten System; deutsche Primärdaten begrenzt verfügbar.</w:t>
      </w:r>
    </w:p>
    <w:p>
      <w:r>
        <w:rPr>
          <w:color w:val="5A7D3A"/>
          <w:sz w:val="18"/>
        </w:rPr>
        <w:t>https://pubmed.ncbi.nlm.nih.gov/42509012/</w:t>
      </w:r>
    </w:p>
    <w:p>
      <w:pPr>
        <w:pStyle w:val="Heading2"/>
      </w:pPr>
      <w:r>
        <w:t>Digitales Entscheidungs-Werkzeug reduziert Antibiotika-Verordnungen in belgischen Praxen um 5%</w:t>
      </w:r>
    </w:p>
    <w:p>
      <w:r>
        <w:rPr>
          <w:i/>
          <w:color w:val="666666"/>
          <w:sz w:val="18"/>
        </w:rPr>
        <w:t>Verbakel JY et al.  ·  BMJ Open  ·  24.07.2026  ·  PMID 42498468</w:t>
      </w:r>
    </w:p>
    <w:p>
      <w:r>
        <w:t>Gestaffelte Cluster-RCT mit 36–48 belgischen Hausarztpraxen, die eine integrierte Entscheidungshilfe (PSS-Tool) zur Antibiotic-Stewardship mit Arzneiempfehlungen testete.</w:t>
      </w:r>
    </w:p>
    <w:p>
      <w:r>
        <w:rPr>
          <w:b/>
        </w:rPr>
        <w:t xml:space="preserve">Ergebnis: </w:t>
      </w:r>
      <w:r>
        <w:t>Zielparameter ist die Reduzierung der Antibiotika-Verordnungsrate um mindestens 5% (Baseline: absolute Häufigkeit nicht berichtet). 80% Teststärke mit n=36–48 Praxen geplant. Prozess-Evaluierung kombiniert Nutzungsdaten und qualitative Interviews. Ethik-Approval: 10.10.2025; Registrierung NCT07347015.</w:t>
      </w:r>
    </w:p>
    <w:p>
      <w:r>
        <w:rPr>
          <w:b/>
          <w:sz w:val="19"/>
        </w:rPr>
        <w:t xml:space="preserve">Übertragbarkeit: </w:t>
      </w:r>
      <w:r>
        <w:rPr>
          <w:sz w:val="19"/>
        </w:rPr>
        <w:t>Belgien, ähnliche EU-Struktur, vergleichbare Primärversorgung mit Deutschland.</w:t>
      </w:r>
    </w:p>
    <w:p>
      <w:r>
        <w:rPr>
          <w:color w:val="5A7D3A"/>
          <w:sz w:val="18"/>
        </w:rPr>
        <w:t>https://pubmed.ncbi.nlm.nih.gov/42498468/</w:t>
      </w:r>
    </w:p>
    <w:p>
      <w:pPr>
        <w:pStyle w:val="Heading1"/>
      </w:pPr>
      <w:r>
        <w:t>Aufgenommen am 01.09.2026</w:t>
      </w:r>
    </w:p>
    <w:p>
      <w:pPr>
        <w:pStyle w:val="Heading2"/>
      </w:pPr>
      <w:r>
        <w:t>Probiotika halbierten ventilatorassoziierte Pneumonie bei kritisch kranken Kindern</w:t>
      </w:r>
    </w:p>
    <w:p>
      <w:r>
        <w:rPr>
          <w:i/>
          <w:color w:val="666666"/>
          <w:sz w:val="18"/>
        </w:rPr>
        <w:t>Tiwari SK et al.  ·  J Trop Pediatr  ·  20.08.2026  ·  PMID 42674774</w:t>
      </w:r>
    </w:p>
    <w:p>
      <w:r>
        <w:t>Systematische Übersicht und Metaanalyse von acht randomisierten Studien zu Probiotika bei kritisch kranken Kindern auf Intensivstationen, mit Fokus auf Pneumonie, Sterblichkeit und Liegedauer.</w:t>
      </w:r>
    </w:p>
    <w:p>
      <w:r>
        <w:rPr>
          <w:b/>
        </w:rPr>
        <w:t xml:space="preserve">Ergebnis: </w:t>
      </w:r>
      <w:r>
        <w:t>Probiotika reduzierten ventilatorassoziierte Pneumonie signifikant (RR 0,47; 95%-KI 0,35–0,64; p&lt;0,0001; hohe Evidenzsicherheit, absolute Risikoreduktion 21,9 %, Number needed to treat ≈5); kein Effekt auf Sterblichkeit (RR 0,85; 95%-KI 0,66–1,11; p=0,24) oder Liegedauer. Keine schwerwiegenden unerwünschten Ereignisse.</w:t>
      </w:r>
    </w:p>
    <w:p>
      <w:r>
        <w:rPr>
          <w:b/>
          <w:sz w:val="19"/>
        </w:rPr>
        <w:t xml:space="preserve">Übertragbarkeit: </w:t>
      </w:r>
      <w:r>
        <w:rPr>
          <w:sz w:val="19"/>
        </w:rPr>
        <w:t>International, 744 Kinder in acht RCTs; Mechanismus und Sicherheit sind übertragbar</w:t>
      </w:r>
    </w:p>
    <w:p>
      <w:r>
        <w:rPr>
          <w:color w:val="5A7D3A"/>
          <w:sz w:val="18"/>
        </w:rPr>
        <w:t>https://pubmed.ncbi.nlm.nih.gov/42674774/</w:t>
      </w:r>
    </w:p>
    <w:p>
      <w:pPr>
        <w:pStyle w:val="Heading2"/>
      </w:pPr>
      <w:r>
        <w:t>Duty of Candour schafft Vertrauen nur bei echter Empathie und Aufarbeitung</w:t>
      </w:r>
    </w:p>
    <w:p>
      <w:r>
        <w:rPr>
          <w:i/>
          <w:color w:val="666666"/>
          <w:sz w:val="18"/>
        </w:rPr>
        <w:t>Adams C et al.  ·  Health Expect  ·  Okt. 2026  ·  PMID 42670882</w:t>
      </w:r>
    </w:p>
    <w:p>
      <w:r>
        <w:t>Qualitative und quantitative Studie mit 80 australischen Patienten zu Wirkung und Verständnis der gesetzlichen Aufklärungspflicht nach schweren Sicherheitsereignissen (Statutory Duty of Candour), zwei Jahre nach Einführung in Victoria.</w:t>
      </w:r>
    </w:p>
    <w:p>
      <w:r>
        <w:rPr>
          <w:b/>
        </w:rPr>
        <w:t xml:space="preserve">Ergebnis: </w:t>
      </w:r>
      <w:r>
        <w:t>61 % ohne Vorwissen zur SDC; 78 % bewerteten sie als nützlich. Unter denen mit Ereignis berichteten über die Hälfte mangelnde Offenheit, über die Hälfte keine Nachbesprechung; Zufriedenheit mit Gesprächen nur 26 %. Sechs Themen: Candour als moralischer Halt, anhaltende Skepsis, begrenzte Zugänglichkeit, echte Entschuldigung als Vertrauensreparatur, emotionale Belastung und Organisationslernefähigkeit.</w:t>
      </w:r>
    </w:p>
    <w:p>
      <w:r>
        <w:rPr>
          <w:b/>
          <w:sz w:val="19"/>
        </w:rPr>
        <w:t xml:space="preserve">Übertragbarkeit: </w:t>
      </w:r>
      <w:r>
        <w:rPr>
          <w:sz w:val="19"/>
        </w:rPr>
        <w:t>Australien/Vereinigtes Königreich, andere Haftungsordnung, ggf. Transferlimits bei deutschem ärztlichem Haftungsrecht</w:t>
      </w:r>
    </w:p>
    <w:p>
      <w:r>
        <w:rPr>
          <w:color w:val="5A7D3A"/>
          <w:sz w:val="18"/>
        </w:rPr>
        <w:t>https://pubmed.ncbi.nlm.nih.gov/42670882/</w:t>
      </w:r>
    </w:p>
    <w:p>
      <w:pPr>
        <w:pStyle w:val="Heading2"/>
      </w:pPr>
      <w:r>
        <w:t>Urbanisierungsgerechte Risikoanpassung verbessert Reanimationsergebnisse deutschlandweit</w:t>
      </w:r>
    </w:p>
    <w:p>
      <w:r>
        <w:rPr>
          <w:i/>
          <w:color w:val="666666"/>
          <w:sz w:val="18"/>
        </w:rPr>
        <w:t>Lee D et al.  ·  BMC Emerg Med  ·  10.08.2026  ·  PMID 42587273</w:t>
      </w:r>
    </w:p>
    <w:p>
      <w:r>
        <w:t>Deutsche Registerstudie zur Kalibrierung von Risikoanpassungsmodellen für Rückkehr zur Spontanzirkulation (ROSC) nach präklinischem Herzstillstand, unter Berücksichtigung von Urbanisierungsgrad.</w:t>
      </w:r>
    </w:p>
    <w:p>
      <w:r>
        <w:rPr>
          <w:b/>
        </w:rPr>
        <w:t xml:space="preserve">Ergebnis: </w:t>
      </w:r>
      <w:r>
        <w:t>Beim refittierten RACA-Modell zeigte sich Fehlkalibrierung nach Urbanisierung: Überschätzung in ländlichen Gebieten, Unterschätzung in Metropolen und Großstädten. Das neue URACA-Modell hob diese Verzerrungen auf, ohne Diskriminationsfähigkeit einzubußen (AUROC 0,735 vs. 0,737; kontinuierliche Netzreklassifizierung 9,4 %).</w:t>
      </w:r>
    </w:p>
    <w:p>
      <w:r>
        <w:rPr>
          <w:b/>
          <w:sz w:val="19"/>
        </w:rPr>
        <w:t xml:space="preserve">Übertragbarkeit: </w:t>
      </w:r>
      <w:r>
        <w:rPr>
          <w:sz w:val="19"/>
        </w:rPr>
        <w:t>Deutschland, 145.780 Patienten aus Deutschem Reanimations-Register 2014–2023</w:t>
      </w:r>
    </w:p>
    <w:p>
      <w:r>
        <w:rPr>
          <w:color w:val="5A7D3A"/>
          <w:sz w:val="18"/>
        </w:rPr>
        <w:t>https://pubmed.ncbi.nlm.nih.gov/42587273/</w:t>
      </w:r>
    </w:p>
    <w:p>
      <w:pPr>
        <w:pStyle w:val="Heading2"/>
      </w:pPr>
      <w:r>
        <w:t>Patientenerfahrung und Sicherheit bleiben in Studien unverbunden</w:t>
      </w:r>
    </w:p>
    <w:p>
      <w:r>
        <w:rPr>
          <w:i/>
          <w:color w:val="666666"/>
          <w:sz w:val="18"/>
        </w:rPr>
        <w:t>King J et al.  ·  BMJ Open Qual  ·  03.08.2026  ·  PMID 42547244</w:t>
      </w:r>
    </w:p>
    <w:p>
      <w:r>
        <w:t>Systematische Übersicht über 30 Studien zum Zusammenhang zwischen Patientenerlebnis und Patientensicherheit, mit Cochrane-Qualitätsbewertung und GRADE-Evidenzgraduierung.</w:t>
      </w:r>
    </w:p>
    <w:p>
      <w:r>
        <w:rPr>
          <w:b/>
        </w:rPr>
        <w:t xml:space="preserve">Ergebnis: </w:t>
      </w:r>
      <w:r>
        <w:t>Heterogene Evidenz: 7 Studien zeigten konsistente positive Assoziationen, 6 keine Assoziation, 17 gemischte Befunde je nach Sicherheitsmaßstab. Kausale Richtung unklar; Forschungslücken in primärer und psychiatrischer Versorgung sowie zu Themen wie Zeitnaher Zugang und Angehörigenbeteiligung.</w:t>
      </w:r>
    </w:p>
    <w:p>
      <w:r>
        <w:rPr>
          <w:b/>
          <w:sz w:val="19"/>
        </w:rPr>
        <w:t xml:space="preserve">Übertragbarkeit: </w:t>
      </w:r>
      <w:r>
        <w:rPr>
          <w:sz w:val="19"/>
        </w:rPr>
        <w:t>Internationale Perspektive, Primärforschung überwiegend aus angelsächsischen Ländern</w:t>
      </w:r>
    </w:p>
    <w:p>
      <w:r>
        <w:rPr>
          <w:color w:val="5A7D3A"/>
          <w:sz w:val="18"/>
        </w:rPr>
        <w:t>https://pubmed.ncbi.nlm.nih.gov/42547244/</w:t>
      </w:r>
    </w:p>
    <w:p>
      <w:pPr>
        <w:pStyle w:val="Heading2"/>
      </w:pPr>
      <w:r>
        <w:t>Ärztliche Mikrobiologie als Stewardship-Partner senkt Antibiotikafehlgebrauch</w:t>
      </w:r>
    </w:p>
    <w:p>
      <w:r>
        <w:rPr>
          <w:i/>
          <w:color w:val="666666"/>
          <w:sz w:val="18"/>
        </w:rPr>
        <w:t>Nilsen E  ·  APMIS  ·  Aug. 2026  ·  PMID 42522544</w:t>
      </w:r>
    </w:p>
    <w:p>
      <w:r>
        <w:t>Norwegische Klinikstudie zur Wahrnehmung ärztlicher Beratung durch klinische Mikrobiologinnen und Mikrobiologen in der Infektionsbehandlung.</w:t>
      </w:r>
    </w:p>
    <w:p>
      <w:r>
        <w:rPr>
          <w:b/>
        </w:rPr>
        <w:t xml:space="preserve">Ergebnis: </w:t>
      </w:r>
      <w:r>
        <w:t>90,7 % der infektionsbehandelnden Ärztinnen und Ärzte (n=228) bewerteten mikrobiologe Stewardship als hochgradig wertvoll; 88,8 % berichteten bessere Antibiotikaverwendung, 87,0 % schnellere oder sicherere klinische Entscheidungen; 97,7 % befürworteten eine aktivere klinische Beratungsrolle von Fachärztinnen und Fachärzten für Mikrobiologie.</w:t>
      </w:r>
    </w:p>
    <w:p>
      <w:r>
        <w:rPr>
          <w:b/>
          <w:sz w:val="19"/>
        </w:rPr>
        <w:t xml:space="preserve">Übertragbarkeit: </w:t>
      </w:r>
      <w:r>
        <w:rPr>
          <w:sz w:val="19"/>
        </w:rPr>
        <w:t>Skandinavien, vergleichbare Infektionsbehandlung in Akutkrankenhäusern</w:t>
      </w:r>
    </w:p>
    <w:p>
      <w:r>
        <w:rPr>
          <w:color w:val="5A7D3A"/>
          <w:sz w:val="18"/>
        </w:rPr>
        <w:t>https://pubmed.ncbi.nlm.nih.gov/42522544/</w:t>
      </w:r>
    </w:p>
    <w:p>
      <w:pPr>
        <w:pStyle w:val="Heading2"/>
      </w:pPr>
      <w:r>
        <w:t>Schülerfehler im klinischen Unterricht: häufige Gelegenheiten mit geringem Lernertrag</w:t>
      </w:r>
    </w:p>
    <w:p>
      <w:r>
        <w:rPr>
          <w:i/>
          <w:color w:val="666666"/>
          <w:sz w:val="18"/>
        </w:rPr>
        <w:t>Rubisch HPK et al.  ·  BMC Med Educ  ·  28.07.2026  ·  PMID 42522036</w:t>
      </w:r>
    </w:p>
    <w:p>
      <w:r>
        <w:t>Beobachtungsstudie zu Lernfehlern bei Bettunterricht auf Stationen in Innerer Medizin, Neurologie und Orthopädie, gemessen an Häufigkeit, Typ und Lehrreaktionen.</w:t>
      </w:r>
    </w:p>
    <w:p>
      <w:r>
        <w:rPr>
          <w:b/>
        </w:rPr>
        <w:t xml:space="preserve">Ergebnis: </w:t>
      </w:r>
      <w:r>
        <w:t>Im Schnitt 4,9 Fehler pro Stunde Unterricht; Reproduktionsfehler überwiegend bei theoretischem Wissen und klinischem Denken, Anwendungsfehler bei körperlicher Untersuchung. Nur 72 % der praktischen Untersuchungszeit war beaufsichtigt; Lehrreaktionen (Erklärungstiefe, Feedback-Direktheit) unterschieden sich nicht signifikant mit oder ohne Patientenpräsenz.</w:t>
      </w:r>
    </w:p>
    <w:p>
      <w:r>
        <w:rPr>
          <w:b/>
          <w:sz w:val="19"/>
        </w:rPr>
        <w:t xml:space="preserve">Übertragbarkeit: </w:t>
      </w:r>
      <w:r>
        <w:rPr>
          <w:sz w:val="19"/>
        </w:rPr>
        <w:t>Deutschland, 36 Bettunterricht-Sitzungen (78,4 h) an deutschem Universitätsklinikum</w:t>
      </w:r>
    </w:p>
    <w:p>
      <w:r>
        <w:rPr>
          <w:color w:val="5A7D3A"/>
          <w:sz w:val="18"/>
        </w:rPr>
        <w:t>https://pubmed.ncbi.nlm.nih.gov/42522036/</w:t>
      </w:r>
    </w:p>
    <w:p>
      <w:pPr>
        <w:pStyle w:val="Heading1"/>
      </w:pPr>
      <w:r>
        <w:t>Aufgenommen am 31.08.2026</w:t>
      </w:r>
    </w:p>
    <w:p>
      <w:pPr>
        <w:pStyle w:val="Heading2"/>
      </w:pPr>
      <w:r>
        <w:t>Klinischer Apotheker reduzierte Arzneimittel-Probleme in Ambulanzrezepten um 43 Prozentpunkte</w:t>
      </w:r>
    </w:p>
    <w:p>
      <w:r>
        <w:rPr>
          <w:i/>
          <w:color w:val="666666"/>
          <w:sz w:val="18"/>
        </w:rPr>
        <w:t>Le TT et al.  ·  J Am Coll Clin Pharm  ·  Sept. 2026  ·  PMID 42669613</w:t>
      </w:r>
    </w:p>
    <w:p>
      <w:r>
        <w:t>Vietnamesische quasi-experimentelle Studie eines multifaktoriellen Apotheker-Interventionsprogramms (prospektive Rezeptüberprüfung, Feedback, Schulung) mit Vorher-Nachher-Analyse in Tertiärklinik.</w:t>
      </w:r>
    </w:p>
    <w:p>
      <w:r>
        <w:rPr>
          <w:b/>
        </w:rPr>
        <w:t xml:space="preserve">Ergebnis: </w:t>
      </w:r>
      <w:r>
        <w:t>Rezepte mit mindestens einem Arzneimittelproblem sank von 65,7 % auf 37,3 % (p&lt;0,001); mittlere Probleme pro Rezept von 1,22 auf 0,55 (p&lt;0,001). Potentiell schädliche Arzneimittelprobleme sanken von 2,4 % auf 1,7 % (p=0,04). Hauptreduktionen bei Dosis- und Einnahmezeitproblemen. Angepasste Odds Ratio 0,29 (95%-KI 0,26–0,32).</w:t>
      </w:r>
    </w:p>
    <w:p>
      <w:r>
        <w:rPr>
          <w:b/>
          <w:sz w:val="19"/>
        </w:rPr>
        <w:t xml:space="preserve">Übertragbarkeit: </w:t>
      </w:r>
      <w:r>
        <w:rPr>
          <w:sz w:val="19"/>
        </w:rPr>
        <w:t>Vietnam; Modell auf deutsches Krankenhaus-Ambulanzmanagement und Praxen übertragbar</w:t>
      </w:r>
    </w:p>
    <w:p>
      <w:r>
        <w:rPr>
          <w:color w:val="5A7D3A"/>
          <w:sz w:val="18"/>
        </w:rPr>
        <w:t>https://pubmed.ncbi.nlm.nih.gov/42669613/</w:t>
      </w:r>
    </w:p>
    <w:p>
      <w:pPr>
        <w:pStyle w:val="Heading2"/>
      </w:pPr>
      <w:r>
        <w:t>Strukturierte Apotheker-Intervention mit Workflow-Prompts senkte Piperacillin/Tazobactam-Gebrauch um 22 %</w:t>
      </w:r>
    </w:p>
    <w:p>
      <w:r>
        <w:rPr>
          <w:i/>
          <w:color w:val="666666"/>
          <w:sz w:val="18"/>
        </w:rPr>
        <w:t>Masuda K et al.  ·  Korean J Med Educ  ·  31.08.2026  ·  PMID 42669608</w:t>
      </w:r>
    </w:p>
    <w:p>
      <w:r>
        <w:t>Japanische retrospektive Vorher-Nachher-Studie einer Apotheker-geleiteten Schulungsintervention mit verhaltenspsychologischen Prinzipien zur Beeinflussung der Antibiotikaverordnung.</w:t>
      </w:r>
    </w:p>
    <w:p>
      <w:r>
        <w:rPr>
          <w:b/>
        </w:rPr>
        <w:t xml:space="preserve">Ergebnis: </w:t>
      </w:r>
      <w:r>
        <w:t>Piperacillin/Tazobactam-Gebrauch sank um 22,3 % in Days of Therapy (DOT) und zeigt konsistente Reduktionen bei saisonalen Vergleichen. Antibiotic Use Density (AUD) sank parallel. Alle Ärzte absolvierten Schulungsvideo und Nach-Test. Workflow-integrierte Reflexions-Prompts bei jedem Verordnen zeigten Wirkung.</w:t>
      </w:r>
    </w:p>
    <w:p>
      <w:r>
        <w:rPr>
          <w:b/>
          <w:sz w:val="19"/>
        </w:rPr>
        <w:t xml:space="preserve">Übertragbarkeit: </w:t>
      </w:r>
      <w:r>
        <w:rPr>
          <w:sz w:val="19"/>
        </w:rPr>
        <w:t>Japan, beobachtet auch in Deutschland (Antibiotic Stewardship), auf Praxen übertragbar</w:t>
      </w:r>
    </w:p>
    <w:p>
      <w:r>
        <w:rPr>
          <w:color w:val="5A7D3A"/>
          <w:sz w:val="18"/>
        </w:rPr>
        <w:t>https://pubmed.ncbi.nlm.nih.gov/42669608/</w:t>
      </w:r>
    </w:p>
    <w:p>
      <w:pPr>
        <w:pStyle w:val="Heading2"/>
      </w:pPr>
      <w:r>
        <w:t>DBS-Screening erfasst 56 % aller HCV-Infektionen, vermisst aber 2,7 % durch niedrige Viruslast</w:t>
      </w:r>
    </w:p>
    <w:p>
      <w:r>
        <w:rPr>
          <w:i/>
          <w:color w:val="666666"/>
          <w:sz w:val="18"/>
        </w:rPr>
        <w:t>Capelli N et al.  ·  Liver Int  ·  Okt. 2026  ·  PMID 42661472</w:t>
      </w:r>
    </w:p>
    <w:p>
      <w:r>
        <w:t>Fünfjährige Evaluierung von Hepatitis-C-Blutfleck-Screening in französischen Schadensreduktionszentren mit vergleichender Analyse zu Plasma-RNA-Konzentrationen.</w:t>
      </w:r>
    </w:p>
    <w:p>
      <w:r>
        <w:rPr>
          <w:b/>
        </w:rPr>
        <w:t xml:space="preserve">Ergebnis: </w:t>
      </w:r>
      <w:r>
        <w:t>Unter 1.552 gescreenten Personen wurden 428 (27,6 %) als HCV-RNA-positiv identifiziert. Etwa 2,7 % der Infektionen (ca. 12 Fälle) wurden aufgrund der Nachweisgrenze von 1.252 IU/mL vermisst. DBS-Tests machten 56,4 % aller laborgestützten HCV-Diagnosen aus. Die modeste Reduktion der analytischen Sensitivität wird durch den deutlich erhöhten Zugang in unterversorgten Populationen aufgewogen.</w:t>
      </w:r>
    </w:p>
    <w:p>
      <w:r>
        <w:rPr>
          <w:b/>
          <w:sz w:val="19"/>
        </w:rPr>
        <w:t xml:space="preserve">Übertragbarkeit: </w:t>
      </w:r>
      <w:r>
        <w:rPr>
          <w:sz w:val="19"/>
        </w:rPr>
        <w:t>Frankreich, dezentrale Diagnostik; Ansatz auf vulnerable Gruppen übertragbar</w:t>
      </w:r>
    </w:p>
    <w:p>
      <w:r>
        <w:rPr>
          <w:color w:val="5A7D3A"/>
          <w:sz w:val="18"/>
        </w:rPr>
        <w:t>https://pubmed.ncbi.nlm.nih.gov/42661472/</w:t>
      </w:r>
    </w:p>
    <w:p>
      <w:pPr>
        <w:pStyle w:val="Heading2"/>
      </w:pPr>
      <w:r>
        <w:t>Penicilline bei vancomycin-sensiblen Enterococcus-Bakteriämien: effektiv, aber keine Überlegenheit ohne Fokuskontrolle</w:t>
      </w:r>
    </w:p>
    <w:p>
      <w:r>
        <w:rPr>
          <w:i/>
          <w:color w:val="666666"/>
          <w:sz w:val="18"/>
        </w:rPr>
        <w:t>Landrock T et al.  ·  Transbound Emerg Dis  ·  2026  ·  PMID 42661338</w:t>
      </w:r>
    </w:p>
    <w:p>
      <w:r>
        <w:t>Retrospektive deutsche Kohortenstudie an 127 Patienten mit Enterococcus-Bakteriämie, Vergleich Penicillin-basierte versus alternative Therapien.</w:t>
      </w:r>
    </w:p>
    <w:p>
      <w:r>
        <w:rPr>
          <w:b/>
        </w:rPr>
        <w:t xml:space="preserve">Ergebnis: </w:t>
      </w:r>
      <w:r>
        <w:t>30-Tage-Mortalität: Penicilline 13,4 % vs. Alternativen 40 % (p=0,001); mediane Hospitalsdauer 21 vs. 35 Tage. Bei multivariater Analyse mit Propensity Scores war nur septischer Schock (aOR 23,53) unabhängig mit Sterblichkeit assoziiert, nicht die Therapieklasse. Keine Unterschiede bei Rezidivbakteriämie oder Nebenwirkungen.</w:t>
      </w:r>
    </w:p>
    <w:p>
      <w:r>
        <w:rPr>
          <w:b/>
          <w:sz w:val="19"/>
        </w:rPr>
        <w:t xml:space="preserve">Übertragbarkeit: </w:t>
      </w:r>
      <w:r>
        <w:rPr>
          <w:sz w:val="19"/>
        </w:rPr>
        <w:t>Deutschland/Österreich, direkt auf Krankenhausinfektion anwendbar</w:t>
      </w:r>
    </w:p>
    <w:p>
      <w:r>
        <w:rPr>
          <w:color w:val="5A7D3A"/>
          <w:sz w:val="18"/>
        </w:rPr>
        <w:t>https://pubmed.ncbi.nlm.nih.gov/42661338/</w:t>
      </w:r>
    </w:p>
    <w:p>
      <w:pPr>
        <w:pStyle w:val="Heading2"/>
      </w:pPr>
      <w:r>
        <w:t>Netzwerk-gestützte Sentinelüberwachung erkannte Clostridioides difficile 27 % schneller mit nur 15 % Sequenzierung</w:t>
      </w:r>
    </w:p>
    <w:p>
      <w:r>
        <w:rPr>
          <w:i/>
          <w:color w:val="666666"/>
          <w:sz w:val="18"/>
        </w:rPr>
        <w:t>Pople D et al.  ·  Nat Commun  ·  26.08.2026  ·  PMID 42649138</w:t>
      </w:r>
    </w:p>
    <w:p>
      <w:r>
        <w:t>Englische Studie mit Netzwerkanalyse zur optimalen Auswahl von Sentinel-Laboratorien für Whole-Genome-Sequenzierung nosokomialer Infektionen bei limitierter Sequenzierungskapazität.</w:t>
      </w:r>
    </w:p>
    <w:p>
      <w:r>
        <w:rPr>
          <w:b/>
        </w:rPr>
        <w:t xml:space="preserve">Ergebnis: </w:t>
      </w:r>
      <w:r>
        <w:t>Algorithmisch optimierte Sentinelstandorte erkennen neuartige C.-difficile-Stämme 27 % schneller als Zufallsauswahl (Median ~3 statt 4 Wochen), während nur &lt;15 % aller Fälle sequenziert werden. Sensitivitäts- und Szenario-Analysen bestätigten robuste epidemiologische Performance über verschiedene Pfadogeneigenschaften hinweg.</w:t>
      </w:r>
    </w:p>
    <w:p>
      <w:r>
        <w:rPr>
          <w:b/>
          <w:sz w:val="19"/>
        </w:rPr>
        <w:t xml:space="preserve">Übertragbarkeit: </w:t>
      </w:r>
      <w:r>
        <w:rPr>
          <w:sz w:val="19"/>
        </w:rPr>
        <w:t>Großbritannien, übertragbar auf deutsche KRINKO-gestützte Sentinel-Überwachung</w:t>
      </w:r>
    </w:p>
    <w:p>
      <w:r>
        <w:rPr>
          <w:color w:val="5A7D3A"/>
          <w:sz w:val="18"/>
        </w:rPr>
        <w:t>https://pubmed.ncbi.nlm.nih.gov/42649138/</w:t>
      </w:r>
    </w:p>
    <w:p>
      <w:pPr>
        <w:pStyle w:val="Heading2"/>
      </w:pPr>
      <w:r>
        <w:t>Delphi-Konsens: Prävention und Management iatrogener Nebenwirkungen von Immunglobulin-Therapie</w:t>
      </w:r>
    </w:p>
    <w:p>
      <w:r>
        <w:rPr>
          <w:i/>
          <w:color w:val="666666"/>
          <w:sz w:val="18"/>
        </w:rPr>
        <w:t>Ferranti-Ramos A et al.  ·  Front Immunol  ·  06.08.2026  ·  PMID 42625714</w:t>
      </w:r>
    </w:p>
    <w:p>
      <w:r>
        <w:t>Spanischer Expertenkonsens mit modifiziertem Delphi-Verfahren zur Standardisierung von Sicherheitsmaßnahmen bei Immunglobulin-Gaben in primären und sekundären Immundefekten.</w:t>
      </w:r>
    </w:p>
    <w:p>
      <w:r>
        <w:rPr>
          <w:b/>
        </w:rPr>
        <w:t xml:space="preserve">Ergebnis: </w:t>
      </w:r>
      <w:r>
        <w:t>42 von 44 Empfehlungen erreichten ≥75 % Konsens. Hochgradige Einigkeit zu individualisierter Risikoabwägung, Infusionsraten-Anpassung und frühes Nebenwirkungsmanagement. Subkutane Immunglobuline (SCIG) zeigten weniger systemische Reaktionen als intravenös. Serielle Anti-IgA-Tests nur bei selektierten Hochrisikopatienten nötig. Prämediktion nur bei ausgewählten Hochrisikogruppen.</w:t>
      </w:r>
    </w:p>
    <w:p>
      <w:r>
        <w:rPr>
          <w:b/>
          <w:sz w:val="19"/>
        </w:rPr>
        <w:t xml:space="preserve">Übertragbarkeit: </w:t>
      </w:r>
      <w:r>
        <w:rPr>
          <w:sz w:val="19"/>
        </w:rPr>
        <w:t>Spanien; europäisches System, auf deutsches Versicherungswesen übertragbar</w:t>
      </w:r>
    </w:p>
    <w:p>
      <w:r>
        <w:rPr>
          <w:color w:val="5A7D3A"/>
          <w:sz w:val="18"/>
        </w:rPr>
        <w:t>https://pubmed.ncbi.nlm.nih.gov/42625714/</w:t>
      </w:r>
    </w:p>
    <w:p>
      <w:pPr>
        <w:pStyle w:val="Heading2"/>
      </w:pPr>
      <w:r>
        <w:t>MT-RNR1-Testung vor Aminoglykosiden verhindert irreversible Hörstörungen, kosteneffektiv in Neonatensepsis</w:t>
      </w:r>
    </w:p>
    <w:p>
      <w:r>
        <w:rPr>
          <w:i/>
          <w:color w:val="666666"/>
          <w:sz w:val="18"/>
        </w:rPr>
        <w:t>McDermott JH et al.  ·  Br J Clin Pharmacol  ·  29.07.2026  ·  PMID 42524757</w:t>
      </w:r>
    </w:p>
    <w:p>
      <w:r>
        <w:t>Britische Richtlinie zum Einsatz präventiver Pharmacogenomics-Tests für Aminoglykosid-induzierte Ototoxizität anhand von Mitochondrial-DNA-Varianten, basierend auf systematischer Literaturanalyse.</w:t>
      </w:r>
    </w:p>
    <w:p>
      <w:r>
        <w:rPr>
          <w:b/>
        </w:rPr>
        <w:t xml:space="preserve">Ergebnis: </w:t>
      </w:r>
      <w:r>
        <w:t>Drei MT-RNR1-Varianten (m.1555A&gt;G, m.1494C&gt;T, m.1095T&gt;C; Frequenz ~1:330) prädisponieren zu irreversibler Hörschädigung auch bei therapeutischen Dosen. Im Englischen Nationalen Gesundheitssystem ist Labor-basierte Testung finanziert; Point-of-Care-Tests in Neonatensepsis werden durchgeführt und sind frühen Health-Economic-Modellen zufolge kostenersparend. Ca. 20 % des Aminoglykosidgebrauchs ist vorhersehbar und testbar.</w:t>
      </w:r>
    </w:p>
    <w:p>
      <w:r>
        <w:rPr>
          <w:b/>
          <w:sz w:val="19"/>
        </w:rPr>
        <w:t xml:space="preserve">Übertragbarkeit: </w:t>
      </w:r>
      <w:r>
        <w:rPr>
          <w:sz w:val="19"/>
        </w:rPr>
        <w:t>Großbritannien, Mitochondrial-DNA-Testung auf Deutschland übertragbar, Kosten-Nutzen-Analyse erforderlich</w:t>
      </w:r>
    </w:p>
    <w:p>
      <w:r>
        <w:rPr>
          <w:color w:val="5A7D3A"/>
          <w:sz w:val="18"/>
        </w:rPr>
        <w:t>https://pubmed.ncbi.nlm.nih.gov/42524757/</w:t>
      </w:r>
    </w:p>
    <w:p>
      <w:pPr>
        <w:pStyle w:val="Heading1"/>
      </w:pPr>
      <w:r>
        <w:t>Aufgenommen am 30.08.2026</w:t>
      </w:r>
    </w:p>
    <w:p>
      <w:pPr>
        <w:pStyle w:val="Heading2"/>
      </w:pPr>
      <w:r>
        <w:t>Adaptive Führung sichert Patientensicherheit in Intensivstationen unter Druck</w:t>
      </w:r>
    </w:p>
    <w:p>
      <w:r>
        <w:rPr>
          <w:i/>
          <w:color w:val="666666"/>
          <w:sz w:val="18"/>
        </w:rPr>
        <w:t>Berggren K et al.  ·  J Nurs Manag  ·  2026  ·  PMID 42667115</w:t>
      </w:r>
    </w:p>
    <w:p>
      <w:r>
        <w:t>Qualitative Studie mit 15 ICU-Managern aus Schweden zur Frage, wie Führungskräfte unter COVID-19 organisatorische Bedingungen für Patientensicherheit schufen.</w:t>
      </w:r>
    </w:p>
    <w:p>
      <w:r>
        <w:rPr>
          <w:b/>
        </w:rPr>
        <w:t xml:space="preserve">Ergebnis: </w:t>
      </w:r>
      <w:r>
        <w:t>Manager balancierten Ressourcenmangel, Arbeitsbelastung und Mitarbeiterschutz durch adaptive Führung mit Flexibilität, kontinuierlichem Lernen und gegenseitigem Vertrauen. Diese Faktoren ermöglichten Risikoerkennung und Sicherheit trotz Druck.</w:t>
      </w:r>
    </w:p>
    <w:p>
      <w:r>
        <w:rPr>
          <w:b/>
          <w:sz w:val="19"/>
        </w:rPr>
        <w:t xml:space="preserve">Übertragbarkeit: </w:t>
      </w:r>
      <w:r>
        <w:rPr>
          <w:sz w:val="19"/>
        </w:rPr>
        <w:t>Schweden, vergleichbares nordeuropäisches Gesundheitssystem, Meldeverhalten unterscheidet sich durch Entschädigungssystem ohne Verschuldensprinzip</w:t>
      </w:r>
    </w:p>
    <w:p>
      <w:r>
        <w:rPr>
          <w:color w:val="5A7D3A"/>
          <w:sz w:val="18"/>
        </w:rPr>
        <w:t>https://pubmed.ncbi.nlm.nih.gov/42667115/</w:t>
      </w:r>
    </w:p>
    <w:p>
      <w:pPr>
        <w:pStyle w:val="Heading2"/>
      </w:pPr>
      <w:r>
        <w:t>Zahnärzte in Simbabwe: Hohes Stichverletzungsrisiko trotz IPC-Wissen</w:t>
      </w:r>
    </w:p>
    <w:p>
      <w:r>
        <w:rPr>
          <w:i/>
          <w:color w:val="666666"/>
          <w:sz w:val="18"/>
        </w:rPr>
        <w:t>Singh T et al.  ·  Front Public Health  ·  14.08.2026  ·  PMID 42666377</w:t>
      </w:r>
    </w:p>
    <w:p>
      <w:r>
        <w:t>Querschnittsstudie mit 220 Zahnfachleuten in Simbabwe zu IPC-Wissen, -Praktiken und beruflichen biologischen Expositionsrisiken mit Odds-Ratio-Analysen.</w:t>
      </w:r>
    </w:p>
    <w:p>
      <w:r>
        <w:rPr>
          <w:b/>
        </w:rPr>
        <w:t xml:space="preserve">Ergebnis: </w:t>
      </w:r>
      <w:r>
        <w:t>Lebenszeitinzidenz Stichverletzungen 61,2%, in den vorangegangenen 12 Monaten 14,7%, berufliche Infektionen 18,3%. Neuere Stichverletzung assoziiert mit früher Karrierephase (aOR 4,01), schlechter Handhygiene (aOR 0,34) und niedriger Risikowahrnehmung (aOR 0,49). Öffentliche Arbeit assoziiert mit Berufsinfektionen (aOR 2,66).</w:t>
      </w:r>
    </w:p>
    <w:p>
      <w:r>
        <w:rPr>
          <w:b/>
          <w:sz w:val="19"/>
        </w:rPr>
        <w:t xml:space="preserve">Übertragbarkeit: </w:t>
      </w:r>
      <w:r>
        <w:rPr>
          <w:sz w:val="19"/>
        </w:rPr>
        <w:t>Grenze: Ressourcenmangel und Systeminfizienz der Einrichtung, Problem global; Befund zu Wissenslücke und Implementierungslücke in allen Systemen relevant</w:t>
      </w:r>
    </w:p>
    <w:p>
      <w:r>
        <w:rPr>
          <w:color w:val="5A7D3A"/>
          <w:sz w:val="18"/>
        </w:rPr>
        <w:t>https://pubmed.ncbi.nlm.nih.gov/42666377/</w:t>
      </w:r>
    </w:p>
    <w:p>
      <w:pPr>
        <w:pStyle w:val="Heading2"/>
      </w:pPr>
      <w:r>
        <w:t>Peripher eingeführte Zentralkatheter reduzieren lokale Infektionen ohne erhöhtes Septikämierisiko</w:t>
      </w:r>
    </w:p>
    <w:p>
      <w:r>
        <w:rPr>
          <w:i/>
          <w:color w:val="666666"/>
          <w:sz w:val="18"/>
        </w:rPr>
        <w:t>Ehrlich S et al.  ·  Support Care Cancer  ·  28.08.2026  ·  PMID 42665709</w:t>
      </w:r>
    </w:p>
    <w:p>
      <w:r>
        <w:t>Retrospektive Kohortenstudie mit 116 AML-Patienten in München, die PICC- vs. CICC-Katheter während Chemoinduktion erhielten, mit Analyse nosokomialer Infektionen.</w:t>
      </w:r>
    </w:p>
    <w:p>
      <w:r>
        <w:rPr>
          <w:b/>
        </w:rPr>
        <w:t xml:space="preserve">Ergebnis: </w:t>
      </w:r>
      <w:r>
        <w:t>PICCs zeigten längere Verweilzeit (16 vs. 11 Tage, p=0,004), niedriger Katheter-assoziierte Blutstrominfektionen (2,8 vs. 2,6/1000 Kathetage, p=0,93), aber signifikant weniger Austrittstelleninfektionen (7,4 vs. 23,1/1000 Kathetage, p=0,01). Keine erhöhte Thromboserisiko.</w:t>
      </w:r>
    </w:p>
    <w:p>
      <w:r>
        <w:rPr>
          <w:b/>
          <w:sz w:val="19"/>
        </w:rPr>
        <w:t xml:space="preserve">Übertragbarkeit: </w:t>
      </w:r>
      <w:r>
        <w:rPr>
          <w:sz w:val="19"/>
        </w:rPr>
        <w:t>Deutschland, vergleichbare Krankenhaushygiene-Standards und Qualitätsmessung</w:t>
      </w:r>
    </w:p>
    <w:p>
      <w:r>
        <w:rPr>
          <w:color w:val="5A7D3A"/>
          <w:sz w:val="18"/>
        </w:rPr>
        <w:t>https://pubmed.ncbi.nlm.nih.gov/42665709/</w:t>
      </w:r>
    </w:p>
    <w:p>
      <w:pPr>
        <w:pStyle w:val="Heading2"/>
      </w:pPr>
      <w:r>
        <w:t>25 europäische Länder setzen nationale Antimikrobien-Verbrauchsziele um</w:t>
      </w:r>
    </w:p>
    <w:p>
      <w:r>
        <w:rPr>
          <w:i/>
          <w:color w:val="666666"/>
          <w:sz w:val="18"/>
        </w:rPr>
        <w:t>Högberg LD et al.  ·  Euro Surveill  ·  Aug. 2026  ·  PMID 42663069</w:t>
      </w:r>
    </w:p>
    <w:p>
      <w:r>
        <w:t>Umfrage zu 67 national adopted Targets für Antibiotikaverbrauch und Stewardship-Indikatoren aus 25 EU/EWR-Ländern für 2025 und darüber hinaus.</w:t>
      </w:r>
    </w:p>
    <w:p>
      <w:r>
        <w:rPr>
          <w:b/>
        </w:rPr>
        <w:t xml:space="preserve">Ergebnis: </w:t>
      </w:r>
      <w:r>
        <w:t>16 Länder mit 67 aktiven Targets: 73% Population-level-Indikatoren, 18% Patient-level, 9% Struktur-Stewardship. Bestandteile: Überwachungsinfrastruktur, Reporting-Systeme und Implementierungsrahmen variabel nach Setting und Ressourcen.</w:t>
      </w:r>
    </w:p>
    <w:p>
      <w:r>
        <w:rPr>
          <w:b/>
          <w:sz w:val="19"/>
        </w:rPr>
        <w:t xml:space="preserve">Übertragbarkeit: </w:t>
      </w:r>
      <w:r>
        <w:rPr>
          <w:sz w:val="19"/>
        </w:rPr>
        <w:t>Deutschsprachiger und europäischer Raum, direkt übertragbar auf KRINKO-Kontext und Surveillance-Systeme</w:t>
      </w:r>
    </w:p>
    <w:p>
      <w:r>
        <w:rPr>
          <w:color w:val="5A7D3A"/>
          <w:sz w:val="18"/>
        </w:rPr>
        <w:t>https://pubmed.ncbi.nlm.nih.gov/42663069/</w:t>
      </w:r>
    </w:p>
    <w:p>
      <w:pPr>
        <w:pStyle w:val="Heading2"/>
      </w:pPr>
      <w:r>
        <w:t>Sicherheitsberichte in klinischen Studien: Balance zwischen Risikominderung und Bürokratie</w:t>
      </w:r>
    </w:p>
    <w:p>
      <w:r>
        <w:rPr>
          <w:i/>
          <w:color w:val="666666"/>
          <w:sz w:val="18"/>
        </w:rPr>
        <w:t>Thompson J et al.  ·  PLoS One  ·  30.07.2026  ·  PMID 42531203</w:t>
      </w:r>
    </w:p>
    <w:p>
      <w:r>
        <w:t>Qualitative Fokusgruppen-Studie mit 23 Mitarbeitenden von vier britischen Clinical Trial Units zur Implementierung risikogerechter Sicherheitsberichterstattung.</w:t>
      </w:r>
    </w:p>
    <w:p>
      <w:r>
        <w:rPr>
          <w:b/>
        </w:rPr>
        <w:t xml:space="preserve">Ergebnis: </w:t>
      </w:r>
      <w:r>
        <w:t>Ein übergeordnetes Thema: Balanceakt zwischen risikogerechter Berichterstattung und Risikominderung. Personal fühlt sich unsicher in Entscheidungen. Lösungen: Klärung von Erwartungen, Transparenzverbesserung, Training und Wissensaustausch durch Mentoring und Plattformen auf Unit-Ebene.</w:t>
      </w:r>
    </w:p>
    <w:p>
      <w:r>
        <w:rPr>
          <w:b/>
          <w:sz w:val="19"/>
        </w:rPr>
        <w:t xml:space="preserve">Übertragbarkeit: </w:t>
      </w:r>
      <w:r>
        <w:rPr>
          <w:sz w:val="19"/>
        </w:rPr>
        <w:t>Vereinigtes Königreich, vergleichbare klinische Versuchsreglementierung; Regeländerungen 2025 relevant für alle RCT-Systeme</w:t>
      </w:r>
    </w:p>
    <w:p>
      <w:r>
        <w:rPr>
          <w:color w:val="5A7D3A"/>
          <w:sz w:val="18"/>
        </w:rPr>
        <w:t>https://pubmed.ncbi.nlm.nih.gov/42531203/</w:t>
      </w:r>
    </w:p>
    <w:p>
      <w:pPr>
        <w:pStyle w:val="Heading2"/>
      </w:pPr>
      <w:r>
        <w:t>Pharmazeutische Interventionen senken Medikationsfehler bei älteren Hospitalisierten um 35 Prozent</w:t>
      </w:r>
    </w:p>
    <w:p>
      <w:r>
        <w:rPr>
          <w:i/>
          <w:color w:val="666666"/>
          <w:sz w:val="18"/>
        </w:rPr>
        <w:t>Lopez-Leret D et al.  ·  Pharmazie  ·  24.07.2026  ·  PMID 42530075</w:t>
      </w:r>
    </w:p>
    <w:p>
      <w:r>
        <w:t>Retrospektive Analyse von 12.856 pharmazeutischen Interventionen 2019–2025 in einem französischen Geriatrie-Krankenhaus mit Fokus auf potenziell unangemessene Medikamente und arzneimittelbezogene Probleme.</w:t>
      </w:r>
    </w:p>
    <w:p>
      <w:r>
        <w:rPr>
          <w:b/>
        </w:rPr>
        <w:t xml:space="preserve">Ergebnis: </w:t>
      </w:r>
      <w:r>
        <w:t>65% der 12.856 Interventionen wurden von Verschreibern akzeptiert. Häufigste Probleme: Dosisauswahl (39,8%), Arzneimittelauswahl (14,3%), Behandlungsdauer (10,1%), Sicherheit (9,3%). Fachgruppen: Nervensystem (24,7%), Magen-Darm/Metabolismus (21,5%), Blut (19,8%), Herz-Kreislauf (13,6%).</w:t>
      </w:r>
    </w:p>
    <w:p>
      <w:r>
        <w:rPr>
          <w:b/>
          <w:sz w:val="19"/>
        </w:rPr>
        <w:t xml:space="preserve">Übertragbarkeit: </w:t>
      </w:r>
      <w:r>
        <w:rPr>
          <w:sz w:val="19"/>
        </w:rPr>
        <w:t>Frankreich, vergleichbares Sozialversicherungssystem, ähnliche Polypharmie-Problematik</w:t>
      </w:r>
    </w:p>
    <w:p>
      <w:r>
        <w:rPr>
          <w:color w:val="5A7D3A"/>
          <w:sz w:val="18"/>
        </w:rPr>
        <w:t>https://pubmed.ncbi.nlm.nih.gov/42530075/</w:t>
      </w:r>
    </w:p>
    <w:p>
      <w:pPr>
        <w:pStyle w:val="Heading1"/>
      </w:pPr>
      <w:r>
        <w:t>Aufgenommen am 29.08.2026</w:t>
      </w:r>
    </w:p>
    <w:p>
      <w:pPr>
        <w:pStyle w:val="Heading2"/>
      </w:pPr>
      <w:r>
        <w:t>Sieben kritische Kontrollpunkte in der Instrumentenaufbereitung senken Infektionsrisiko um 180-367%</w:t>
      </w:r>
    </w:p>
    <w:p>
      <w:r>
        <w:rPr>
          <w:i/>
          <w:color w:val="666666"/>
          <w:sz w:val="18"/>
        </w:rPr>
        <w:t>Lin X et al.  ·  Front Public Health  ·  13.08.2026  ·  PMID 42661801</w:t>
      </w:r>
    </w:p>
    <w:p>
      <w:r>
        <w:t>Retrospektive Kohortenstudie an 15.847 Operationen zur Identifizierung kritischer Kontrollpunkte in der Zentralsterilisation und deren Assoziation mit Wundinfektionen.</w:t>
      </w:r>
    </w:p>
    <w:p>
      <w:r>
        <w:rPr>
          <w:b/>
        </w:rPr>
        <w:t xml:space="preserve">Ergebnis: </w:t>
      </w:r>
      <w:r>
        <w:t>SSI-Rate 2,4% (380/15.847). Sieben identifizierte Kontrollpunkte zeigten unabhängige Assoziationen mit Infektionsrisiko: Vorprüfung (OR 2,34), Reinigungsvalidierung (OR 3,12), Sterilisationsüberwachung (OR 4,67), Sterilitätsmaintenance (OR 2,89), Personalqualifikation (OR 2,56), Gerätewartung (OR 3,45), Dokumentation (OR 1,98). Inadequate Kontrolle erhöhte Infektionsrisiko um 180-367%.</w:t>
      </w:r>
    </w:p>
    <w:p>
      <w:r>
        <w:rPr>
          <w:b/>
          <w:sz w:val="19"/>
        </w:rPr>
        <w:t xml:space="preserve">Übertragbarkeit: </w:t>
      </w:r>
      <w:r>
        <w:rPr>
          <w:sz w:val="19"/>
        </w:rPr>
        <w:t>China-Studie, aber Mess- und Kontrollprinzipien international übertragbar</w:t>
      </w:r>
    </w:p>
    <w:p>
      <w:r>
        <w:rPr>
          <w:color w:val="5A7D3A"/>
          <w:sz w:val="18"/>
        </w:rPr>
        <w:t>https://pubmed.ncbi.nlm.nih.gov/42661801/</w:t>
      </w:r>
    </w:p>
    <w:p>
      <w:pPr>
        <w:pStyle w:val="Heading2"/>
      </w:pPr>
      <w:r>
        <w:t>Sicherheitskultur in integrierten Gesundheits- und Sozialdiensten: finnische Erfassung mit SOPS 2.0</w:t>
      </w:r>
    </w:p>
    <w:p>
      <w:r>
        <w:rPr>
          <w:i/>
          <w:color w:val="666666"/>
          <w:sz w:val="18"/>
        </w:rPr>
        <w:t>Hult M et al.  ·  BMJ Open Qual  ·  27.08.2026  ·  PMID 42660605</w:t>
      </w:r>
    </w:p>
    <w:p>
      <w:r>
        <w:t>Querschnittstudie mit 2.623 Beschäftigten aus Krankenhäusern und Altenpflege in Finnland zur Messung der Sicherheitskultur mit validierten Instrumenten.</w:t>
      </w:r>
    </w:p>
    <w:p>
      <w:r>
        <w:rPr>
          <w:b/>
        </w:rPr>
        <w:t xml:space="preserve">Ergebnis: </w:t>
      </w:r>
      <w:r>
        <w:t>Teamwork erhielt beste Bewertungen (71,1%), Handoffs und Informationsaustausch niedrigste (22,6%). Ältere Dienste schnitten konsistent schlechter ab. Insgesamt 52,6% positive Responses für Net Safety Score. Das Modell erklärte 47,4% der Varianz in Krankenhäusern, 47,0% in Altenpflege, 35,8% in Gesundheits- und Sozialdiensten.</w:t>
      </w:r>
    </w:p>
    <w:p>
      <w:r>
        <w:rPr>
          <w:b/>
          <w:sz w:val="19"/>
        </w:rPr>
        <w:t xml:space="preserve">Übertragbarkeit: </w:t>
      </w:r>
      <w:r>
        <w:rPr>
          <w:sz w:val="19"/>
        </w:rPr>
        <w:t>Skandinavien, anderes Melde- und Entschädigungssystem ohne Verschuldensnachweis</w:t>
      </w:r>
    </w:p>
    <w:p>
      <w:r>
        <w:rPr>
          <w:color w:val="5A7D3A"/>
          <w:sz w:val="18"/>
        </w:rPr>
        <w:t>https://pubmed.ncbi.nlm.nih.gov/42660605/</w:t>
      </w:r>
    </w:p>
    <w:p>
      <w:pPr>
        <w:pStyle w:val="Heading2"/>
      </w:pPr>
      <w:r>
        <w:t>Strukturierte Schulung und Peer-Support reduzierten Medikationsfehler dauerhaft auf null</w:t>
      </w:r>
    </w:p>
    <w:p>
      <w:r>
        <w:rPr>
          <w:i/>
          <w:color w:val="666666"/>
          <w:sz w:val="18"/>
        </w:rPr>
        <w:t>Cheng HS et al.  ·  BMJ Open Qual  ·  27.08.2026  ·  PMID 42660604</w:t>
      </w:r>
    </w:p>
    <w:p>
      <w:r>
        <w:t>QI-Projekt in Singaporer Klinik mit zwei PDSA-Zyklen zur Reduktion von Medikations-Bestellfehlern durch Schulung, Erinnerungen, Prescribing Champions und interdisziplinäre Collaboration.</w:t>
      </w:r>
    </w:p>
    <w:p>
      <w:r>
        <w:rPr>
          <w:b/>
        </w:rPr>
        <w:t xml:space="preserve">Ergebnis: </w:t>
      </w:r>
      <w:r>
        <w:t>Bestellfehler reduzierten von Baseline-Median 3 pro Monat auf null von Januar bis Dezember 2023, Reduktion bis August 2024 aufrechterhalten. Geschätzte Kostenersparnis SGD 18.000 jährlich basierend auf lokalen Schätzwerten für Medikationsschäden. Initiative erfolgreich auf zweite Station übertragen, anschließend in Hospitals-weites PGY1-Programm integriert.</w:t>
      </w:r>
    </w:p>
    <w:p>
      <w:r>
        <w:rPr>
          <w:b/>
          <w:sz w:val="19"/>
        </w:rPr>
        <w:t xml:space="preserve">Übertragbarkeit: </w:t>
      </w:r>
      <w:r>
        <w:rPr>
          <w:sz w:val="19"/>
        </w:rPr>
        <w:t>Singapur, vergleichbare Versicherungsstrukturen und Versorgungsdokumentation</w:t>
      </w:r>
    </w:p>
    <w:p>
      <w:r>
        <w:rPr>
          <w:color w:val="5A7D3A"/>
          <w:sz w:val="18"/>
        </w:rPr>
        <w:t>https://pubmed.ncbi.nlm.nih.gov/42660604/</w:t>
      </w:r>
    </w:p>
    <w:p>
      <w:pPr>
        <w:pStyle w:val="Heading2"/>
      </w:pPr>
      <w:r>
        <w:t>Smartphone-App für Antibiotikarichtlinien verbesserte Adhärenz nicht gegenüber Papierversion</w:t>
      </w:r>
    </w:p>
    <w:p>
      <w:r>
        <w:rPr>
          <w:i/>
          <w:color w:val="666666"/>
          <w:sz w:val="18"/>
        </w:rPr>
        <w:t>Chansamouth V et al.  ·  PLoS Med  ·  27.08.2026  ·  PMID 42659762</w:t>
      </w:r>
    </w:p>
    <w:p>
      <w:r>
        <w:t>Stepped-wedge Cluster-RCT (2021-2022) in sechs Krankenhäusern in Laos mit 3.561 stationären Verordnungen zum Vergleich Smartphone-basierter versus papiergestützter Antibiotikarichtlinien mit Stewardship-Training.</w:t>
      </w:r>
    </w:p>
    <w:p>
      <w:r>
        <w:rPr>
          <w:b/>
        </w:rPr>
        <w:t xml:space="preserve">Ergebnis: </w:t>
      </w:r>
      <w:r>
        <w:t>Stationäre Adhärenz 17,0% (95% CI 15,0-19,0%) in Referenz, 25,6% (95% CI 23,1-28,3%) in Intervention. Nach Adjustierung unterschied sich Adhärenz nicht signifikant (aOR 1,26, 95% CI 0,8-1,9; p=0,276). Ambulant aOR 0,91 (95% CI 0,7-1,1; p=0,406). Zeittrend zeigte erste Interventionsgruppe mit höherer Adhärenz (32,1%) vs. letzte (19,1%), aOR 1,95.</w:t>
      </w:r>
    </w:p>
    <w:p>
      <w:r>
        <w:rPr>
          <w:b/>
          <w:sz w:val="19"/>
        </w:rPr>
        <w:t xml:space="preserve">Übertragbarkeit: </w:t>
      </w:r>
      <w:r>
        <w:rPr>
          <w:sz w:val="19"/>
        </w:rPr>
        <w:t>LMIC-Setting, zeigt dass Guideline-Verfügbarkeit allein nicht ausreicht – Adhärenz multifaktoriell</w:t>
      </w:r>
    </w:p>
    <w:p>
      <w:r>
        <w:rPr>
          <w:color w:val="5A7D3A"/>
          <w:sz w:val="18"/>
        </w:rPr>
        <w:t>https://pubmed.ncbi.nlm.nih.gov/42659762/</w:t>
      </w:r>
    </w:p>
    <w:p>
      <w:pPr>
        <w:pStyle w:val="Heading2"/>
      </w:pPr>
      <w:r>
        <w:t>Just-Culture-Implementierung erhöhte Sicherheitsmeldungen statistisch signifikant</w:t>
      </w:r>
    </w:p>
    <w:p>
      <w:r>
        <w:rPr>
          <w:i/>
          <w:color w:val="666666"/>
          <w:sz w:val="18"/>
        </w:rPr>
        <w:t>McGonigal M et al.  ·  Crit Care Nurs Q  ·  26.08.2026  ·  PMID 42659660</w:t>
      </w:r>
    </w:p>
    <w:p>
      <w:r>
        <w:t>QI-Projekt in ICUs eines Krankenhaussystems zur Implementierung eines Just-Culture-Programms mit IHI-PDSA-Methode zur Messung von Sicherheitskultur und Meldepraxis.</w:t>
      </w:r>
    </w:p>
    <w:p>
      <w:r>
        <w:rPr>
          <w:b/>
        </w:rPr>
        <w:t xml:space="preserve">Ergebnis: </w:t>
      </w:r>
      <w:r>
        <w:t>CT2023 AHRQ Patient Safety Survey: Error-Domain in Critical-Care-Units verbesserte sich von 54,58% (2023) auf 59% (2025). Sicherheitsmeldungen von CY2023 zu CY2024 statistisch signifikant erhöht (t-Test p=0,00000009).</w:t>
      </w:r>
    </w:p>
    <w:p>
      <w:r>
        <w:rPr>
          <w:b/>
          <w:sz w:val="19"/>
        </w:rPr>
        <w:t xml:space="preserve">Übertragbarkeit: </w:t>
      </w:r>
      <w:r>
        <w:rPr>
          <w:sz w:val="19"/>
        </w:rPr>
        <w:t>USA-Studie, aber Just-Culture-Konzept und PDSA-Ansatz international anwendbar</w:t>
      </w:r>
    </w:p>
    <w:p>
      <w:r>
        <w:rPr>
          <w:color w:val="5A7D3A"/>
          <w:sz w:val="18"/>
        </w:rPr>
        <w:t>https://pubmed.ncbi.nlm.nih.gov/42659660/</w:t>
      </w:r>
    </w:p>
    <w:p>
      <w:pPr>
        <w:pStyle w:val="Heading2"/>
      </w:pPr>
      <w:r>
        <w:t>192 Fälle ärztlicher Manslaughter zeigen hohe Quote advertenter Fehler und Systemprobleme</w:t>
      </w:r>
    </w:p>
    <w:p>
      <w:r>
        <w:rPr>
          <w:i/>
          <w:color w:val="666666"/>
          <w:sz w:val="18"/>
        </w:rPr>
        <w:t>Griffiths D  ·  Med Law Rev  ·  08.07.2026  ·  PMID 42595380</w:t>
      </w:r>
    </w:p>
    <w:p>
      <w:r>
        <w:t>Retrospektive Analyse aller 192 Fälle ärztlicher Manslaughter, die 2007-2018 der britischen Crown Prosecution Service vorgelegt wurden, zur Charakterisierung von Mustern und Haftungsmustern.</w:t>
      </w:r>
    </w:p>
    <w:p>
      <w:r>
        <w:rPr>
          <w:b/>
        </w:rPr>
        <w:t xml:space="preserve">Ergebnis: </w:t>
      </w:r>
      <w:r>
        <w:t>MM-Anklagen extrem selten, aber Analyse offenbarte bisher unerforschte Trends mit hoher Quote individueller advertenter Mängel und tiefere Strukturprobleme über reine Systemfehler hinaus. Artikel zeigt dass MM-Fälle untergenutzte Quelle für Lernen und Accountability darstellen und Ansätze erfordern, die über Strafrecht hinausgehen.</w:t>
      </w:r>
    </w:p>
    <w:p>
      <w:r>
        <w:rPr>
          <w:b/>
          <w:sz w:val="19"/>
        </w:rPr>
        <w:t xml:space="preserve">Übertragbarkeit: </w:t>
      </w:r>
      <w:r>
        <w:rPr>
          <w:sz w:val="19"/>
        </w:rPr>
        <w:t>Großbritannien, anderes Haftungs- und Entschädigungssystem als Deutschland</w:t>
      </w:r>
    </w:p>
    <w:p>
      <w:r>
        <w:rPr>
          <w:color w:val="5A7D3A"/>
          <w:sz w:val="18"/>
        </w:rPr>
        <w:t>https://pubmed.ncbi.nlm.nih.gov/42595380/</w:t>
      </w:r>
    </w:p>
    <w:p>
      <w:pPr>
        <w:pStyle w:val="Heading2"/>
      </w:pPr>
      <w:r>
        <w:t>26% der Antiphospholipid-Syndrom-Diagnosen erfüllen formale Kriterien nicht</w:t>
      </w:r>
    </w:p>
    <w:p>
      <w:r>
        <w:rPr>
          <w:i/>
          <w:color w:val="666666"/>
          <w:sz w:val="18"/>
        </w:rPr>
        <w:t>Gnanapragasam S et al.  ·  Dan Med J  ·  23.06.2026  ·  PMID 42592773</w:t>
      </w:r>
    </w:p>
    <w:p>
      <w:r>
        <w:t>Retrospektive Studie in zwei dänischen Regionen mit 175 Patienten mit ICD-10-Code D68.61 zur Überprüfung ob formale APS-Kriterien erfüllt sind.</w:t>
      </w:r>
    </w:p>
    <w:p>
      <w:r>
        <w:rPr>
          <w:b/>
        </w:rPr>
        <w:t xml:space="preserve">Ergebnis: </w:t>
      </w:r>
      <w:r>
        <w:t>46 von 175 Patienten (26%) erfüllten formale APS-Kriterien nicht. Hauptgrund: fehlerhafte Laborbefund-Interpretation. In zehn Fällen Klinik nicht erfüllt, in 15 Fällen wurden aPLs negativ nach Monaten/Jahren. Bei &lt;50 Jahren APS häufiger in Frauen (41 vs. 12; p&lt;0,0001), nicht bei ≥50 Jahren (38 vs. 38).</w:t>
      </w:r>
    </w:p>
    <w:p>
      <w:r>
        <w:rPr>
          <w:b/>
          <w:sz w:val="19"/>
        </w:rPr>
        <w:t xml:space="preserve">Übertragbarkeit: </w:t>
      </w:r>
      <w:r>
        <w:rPr>
          <w:sz w:val="19"/>
        </w:rPr>
        <w:t>Dänemark, anderes Meldesystem (Verschuldensnachweis nicht erforderlich), aber Diagnoseproblem universal</w:t>
      </w:r>
    </w:p>
    <w:p>
      <w:r>
        <w:rPr>
          <w:color w:val="5A7D3A"/>
          <w:sz w:val="18"/>
        </w:rPr>
        <w:t>https://pubmed.ncbi.nlm.nih.gov/42592773/</w:t>
      </w:r>
    </w:p>
    <w:p>
      <w:pPr>
        <w:pStyle w:val="Heading1"/>
      </w:pPr>
      <w:r>
        <w:t>Aufgenommen am 28.08.2026</w:t>
      </w:r>
    </w:p>
    <w:p>
      <w:pPr>
        <w:pStyle w:val="Heading2"/>
      </w:pPr>
      <w:r>
        <w:t>MRSA-Präventionsprogramm senkte Krankenhaus-Infektionen um 65%</w:t>
      </w:r>
    </w:p>
    <w:p>
      <w:r>
        <w:rPr>
          <w:i/>
          <w:color w:val="666666"/>
          <w:sz w:val="18"/>
        </w:rPr>
        <w:t>Maragakis LL et al.  ·  JAMA Netw Open  ·  03.08.2026  ·  PMID 42658494</w:t>
      </w:r>
    </w:p>
    <w:p>
      <w:r>
        <w:t>Qualitätsverbesserungsprogramm mit webinar-basierter Schulung zu Dekolonisation, Flächendesinfektion und Bündelmaßnahmen gegen MRSA-Infektionen in 193 Stationen (106 ICU, 87 Nicht-ICU).</w:t>
      </w:r>
    </w:p>
    <w:p>
      <w:r>
        <w:rPr>
          <w:b/>
        </w:rPr>
        <w:t xml:space="preserve">Ergebnis: </w:t>
      </w:r>
      <w:r>
        <w:t>MRSA-Bakterämien sanken um 65% (2,3 Ereignisse pro 10.000 Patiententage, 95% KI −2,8 bis −1,9; p&lt;0,001), klinische MRSA-Kulturen um 39% und nosokomiale Infektionen um 37% im Gesamtvergleich.</w:t>
      </w:r>
    </w:p>
    <w:p>
      <w:r>
        <w:rPr>
          <w:b/>
          <w:sz w:val="19"/>
        </w:rPr>
        <w:t xml:space="preserve">Übertragbarkeit: </w:t>
      </w:r>
      <w:r>
        <w:rPr>
          <w:sz w:val="19"/>
        </w:rPr>
        <w:t>USA-Studie, aber Bundel-Elemente auf deutsches System übertragbar.</w:t>
      </w:r>
    </w:p>
    <w:p>
      <w:r>
        <w:rPr>
          <w:color w:val="5A7D3A"/>
          <w:sz w:val="18"/>
        </w:rPr>
        <w:t>https://pubmed.ncbi.nlm.nih.gov/42658494/</w:t>
      </w:r>
    </w:p>
    <w:p>
      <w:pPr>
        <w:pStyle w:val="Heading2"/>
      </w:pPr>
      <w:r>
        <w:t>Polypharmacy und kognitiv-schädliche Medikamente bei Demenz häufig unerkannt</w:t>
      </w:r>
    </w:p>
    <w:p>
      <w:r>
        <w:rPr>
          <w:i/>
          <w:color w:val="666666"/>
          <w:sz w:val="18"/>
        </w:rPr>
        <w:t>Morató X et al.  ·  Alzheimers Dement  ·  Aug. 2026  ·  PMID 42639919</w:t>
      </w:r>
    </w:p>
    <w:p>
      <w:r>
        <w:t>Querschnitt-Observational-Studie (n=2.379) in Memory Clinic Barcelona: Polypharmacy (≥5 Medikamente), potentiell inadäquate Medikation (PIMs) und Medikamente mit kognitiver Toxizität anhand LLM-gestützter Datenextraktion untersucht.</w:t>
      </w:r>
    </w:p>
    <w:p>
      <w:r>
        <w:rPr>
          <w:b/>
        </w:rPr>
        <w:t xml:space="preserve">Ergebnis: </w:t>
      </w:r>
      <w:r>
        <w:t>67% mit kognitiver Beeinträchtigung (CDR ≥0,5) zeigten Polypharmacy, 21% Hyperpolypharmacy (≥10 Medikamente). 20,8% mit Polypharmacy hatten eingeschränkte Nierenfunktion. Schutzfaktor: höhere Bildung. LLM-Einsatz ermöglichte strukturierte Medikamentenanalyse.</w:t>
      </w:r>
    </w:p>
    <w:p>
      <w:r>
        <w:rPr>
          <w:b/>
          <w:sz w:val="19"/>
        </w:rPr>
        <w:t xml:space="preserve">Übertragbarkeit: </w:t>
      </w:r>
      <w:r>
        <w:rPr>
          <w:sz w:val="19"/>
        </w:rPr>
        <w:t>Spanien, medizinische Dokumentationspraxis vergleichbar; Praxisrelevanz für deutsche Gedächtnisambulanzen.</w:t>
      </w:r>
    </w:p>
    <w:p>
      <w:r>
        <w:rPr>
          <w:color w:val="5A7D3A"/>
          <w:sz w:val="18"/>
        </w:rPr>
        <w:t>https://pubmed.ncbi.nlm.nih.gov/42639919/</w:t>
      </w:r>
    </w:p>
    <w:p>
      <w:pPr>
        <w:pStyle w:val="Heading2"/>
      </w:pPr>
      <w:r>
        <w:t>C-reaktives Protein und Beatmungsdauer zur Früherkennung von VAP geeignet</w:t>
      </w:r>
    </w:p>
    <w:p>
      <w:r>
        <w:rPr>
          <w:i/>
          <w:color w:val="666666"/>
          <w:sz w:val="18"/>
        </w:rPr>
        <w:t>Becirovic M et al.  ·  Med Glas (Zenica)  ·  08.07.2026  ·  PMID 42592972</w:t>
      </w:r>
    </w:p>
    <w:p>
      <w:r>
        <w:t>Prospektive Kohortenstudie (n=118) in einer ICU Tuzla: VAP (n=41; 34,7%) vs. ohne VAP; Risikofaktoren, laborchemische Parameter und Mikrobiologie analysiert.</w:t>
      </w:r>
    </w:p>
    <w:p>
      <w:r>
        <w:rPr>
          <w:b/>
        </w:rPr>
        <w:t xml:space="preserve">Ergebnis: </w:t>
      </w:r>
      <w:r>
        <w:t>VAP-Patienten hatten längere Beatmung (12,5 vs. 7,3 Tage; p&lt;0,001), längerer Aufenthalt (19,6 vs. 12,2 Tage; p&lt;0,001), höhere CRP (178,2 vs. 126,4 mg/L; p&lt;0,001). CRP zeigte gute diskriminative Fähigkeit (AUC 0,83). Acinetobacter baumannii war Leitpathogen (43,9%).</w:t>
      </w:r>
    </w:p>
    <w:p>
      <w:r>
        <w:rPr>
          <w:b/>
          <w:sz w:val="19"/>
        </w:rPr>
        <w:t xml:space="preserve">Übertragbarkeit: </w:t>
      </w:r>
      <w:r>
        <w:rPr>
          <w:sz w:val="19"/>
        </w:rPr>
        <w:t>Südosteuropa, vergleichbares öffentliches Gesundheitssystem; ICU-Schwelle erreicht.</w:t>
      </w:r>
    </w:p>
    <w:p>
      <w:r>
        <w:rPr>
          <w:color w:val="5A7D3A"/>
          <w:sz w:val="18"/>
        </w:rPr>
        <w:t>https://pubmed.ncbi.nlm.nih.gov/42592972/</w:t>
      </w:r>
    </w:p>
    <w:p>
      <w:pPr>
        <w:pStyle w:val="Heading2"/>
      </w:pPr>
      <w:r>
        <w:t>Verzicht auf Antibiotikaprophylaxe bei robotischer Hernienchirurgie ohne Infektionszunahme</w:t>
      </w:r>
    </w:p>
    <w:p>
      <w:r>
        <w:rPr>
          <w:i/>
          <w:color w:val="666666"/>
          <w:sz w:val="18"/>
        </w:rPr>
        <w:t>Alfarawan F et al.  ·  Hernia  ·  31.07.2026  ·  PMID 42536218</w:t>
      </w:r>
    </w:p>
    <w:p>
      <w:r>
        <w:t>Kohortenstudie mit Propensity-Score-Matching (n=156 nach Matching): robotische ventrale Hernienchirurgie mit (n=78) vs. ohne (n=78) single-shot Prophylaxe; SSI und Wundheilungsstörungen in 30 und 90 Tagen erfasst.</w:t>
      </w:r>
    </w:p>
    <w:p>
      <w:r>
        <w:rPr>
          <w:b/>
        </w:rPr>
        <w:t xml:space="preserve">Ergebnis: </w:t>
      </w:r>
      <w:r>
        <w:t>30-Tage SSI 2,6% mit vs. 1,3% ohne Prophylaxe (p=1,0), 90-Tage SSI 0%, Wundheilungsstörungen 12,8% vs. 15,4% (p=0,82). Kein Unterschied in Liegedauer (beide 2 Tage). Prophylaxe nicht protektiv in Multivarianz-Analyse.</w:t>
      </w:r>
    </w:p>
    <w:p>
      <w:r>
        <w:rPr>
          <w:b/>
          <w:sz w:val="19"/>
        </w:rPr>
        <w:t xml:space="preserve">Übertragbarkeit: </w:t>
      </w:r>
      <w:r>
        <w:rPr>
          <w:sz w:val="19"/>
        </w:rPr>
        <w:t>Deutschland, deutschsprachige Studie; Antibiotic Stewardship Kriterium erfüllt.</w:t>
      </w:r>
    </w:p>
    <w:p>
      <w:r>
        <w:rPr>
          <w:color w:val="5A7D3A"/>
          <w:sz w:val="18"/>
        </w:rPr>
        <w:t>https://pubmed.ncbi.nlm.nih.gov/42536218/</w:t>
      </w:r>
    </w:p>
    <w:p>
      <w:pPr>
        <w:pStyle w:val="Heading2"/>
      </w:pPr>
      <w:r>
        <w:t>Händehygiene bei Reinigungspersonal: Systematische Lücke im Infektionsschutz</w:t>
      </w:r>
    </w:p>
    <w:p>
      <w:r>
        <w:rPr>
          <w:i/>
          <w:color w:val="666666"/>
          <w:sz w:val="18"/>
        </w:rPr>
        <w:t>Rager AM et al.  ·  Front Public Health  ·  16.07.2026  ·  PMID 42535004</w:t>
      </w:r>
    </w:p>
    <w:p>
      <w:r>
        <w:t>Scoping Review zur Händehygiene bei Krankenhausreinigungspersonal (2009–2025): 33 Quellen analysiert, Wissen, Einstellungen, fördernde und hemmende Faktoren identifiziert.</w:t>
      </w:r>
    </w:p>
    <w:p>
      <w:r>
        <w:rPr>
          <w:b/>
        </w:rPr>
        <w:t xml:space="preserve">Ergebnis: </w:t>
      </w:r>
      <w:r>
        <w:t>Überwiegend deskriptive Evidenz mit Heterogenität. Interventionen basierten auf zielgruppenorientierter Schulung, Simulationstraining und multimodalem Ansatz. Evidenzbasis klein; keine randomisierten Studien vorhanden. Intervention-Effekte nicht quantifiziert.</w:t>
      </w:r>
    </w:p>
    <w:p>
      <w:r>
        <w:rPr>
          <w:b/>
          <w:sz w:val="19"/>
        </w:rPr>
        <w:t xml:space="preserve">Übertragbarkeit: </w:t>
      </w:r>
      <w:r>
        <w:rPr>
          <w:sz w:val="19"/>
        </w:rPr>
        <w:t>Deutsches und europäisches Setting relevant; Arbeitsschutz und Betriebsrat klären.</w:t>
      </w:r>
    </w:p>
    <w:p>
      <w:r>
        <w:rPr>
          <w:color w:val="5A7D3A"/>
          <w:sz w:val="18"/>
        </w:rPr>
        <w:t>https://pubmed.ncbi.nlm.nih.gov/42535004/</w:t>
      </w:r>
    </w:p>
    <w:p>
      <w:pPr>
        <w:pStyle w:val="Heading2"/>
      </w:pPr>
      <w:r>
        <w:t>Sicherheitskultur und Meldeinfrastruktur verbessern Fehlerberichte in Kindernotaufnahmen</w:t>
      </w:r>
    </w:p>
    <w:p>
      <w:r>
        <w:rPr>
          <w:i/>
          <w:color w:val="666666"/>
          <w:sz w:val="18"/>
        </w:rPr>
        <w:t>Collado-González B et al.  ·  BMJ Open  ·  30.07.2026  ·  PMID 42532562</w:t>
      </w:r>
    </w:p>
    <w:p>
      <w:r>
        <w:t>Multizentrisches Querschnitt-Survey in 19 spanischen Kindernotaufnahmen: Organisatorische Sicherheitspraktiken, Sicherheitskultur (Hospital Survey on Patient Safety Culture) und Fehlerberichte untersucht.</w:t>
      </w:r>
    </w:p>
    <w:p>
      <w:r>
        <w:rPr>
          <w:b/>
        </w:rPr>
        <w:t xml:space="preserve">Ergebnis: </w:t>
      </w:r>
      <w:r>
        <w:t>Zusätzliche Meldesysteme waren unabhängig mit höherem Fehlerreporting assoziiert (OR 2,69; 95% KI 1,57–4,66). Patientensicherheitsspezialisten, Walkarounds und Simulationstraining zeigten günstigere Kultur-Scores (p&lt;0,001), aber nicht unabhängig mit Reporting verbunden.</w:t>
      </w:r>
    </w:p>
    <w:p>
      <w:r>
        <w:rPr>
          <w:b/>
          <w:sz w:val="19"/>
        </w:rPr>
        <w:t xml:space="preserve">Übertragbarkeit: </w:t>
      </w:r>
      <w:r>
        <w:rPr>
          <w:sz w:val="19"/>
        </w:rPr>
        <w:t>Spanien, ähnliches Gesundheitssystem wie Deutschland; Meldeinfrastruktur zentral.</w:t>
      </w:r>
    </w:p>
    <w:p>
      <w:r>
        <w:rPr>
          <w:color w:val="5A7D3A"/>
          <w:sz w:val="18"/>
        </w:rPr>
        <w:t>https://pubmed.ncbi.nlm.nih.gov/42532562/</w:t>
      </w:r>
    </w:p>
    <w:p>
      <w:pPr>
        <w:pStyle w:val="Heading1"/>
      </w:pPr>
      <w:r>
        <w:t>Aufgenommen am 27.08.2026</w:t>
      </w:r>
    </w:p>
    <w:p>
      <w:pPr>
        <w:pStyle w:val="Heading2"/>
      </w:pPr>
      <w:r>
        <w:t>Bakterielle Pathogene in septischer Myokardschädigung: Nachweis ursächlicher Zusammenhänge nicht gelungen</w:t>
      </w:r>
    </w:p>
    <w:p>
      <w:r>
        <w:rPr>
          <w:i/>
          <w:color w:val="666666"/>
          <w:sz w:val="18"/>
        </w:rPr>
        <w:t>Lörstad S et al.  ·  BMJ Open  ·  26.08.2026  ·  PMID 42648781</w:t>
      </w:r>
    </w:p>
    <w:p>
      <w:r>
        <w:t>Scoping Review (nach PRISMA-ScR und Joanna-Briggs-Methodologie) systematisch durchsuchter Literatur (PubMed, Embase, Web of Science bis Dezember 2024) zu spezifischen bakteriellen Erregern oder deren Toxinen und myokardialer Schädigung bei septischen Erwachsenen.</w:t>
      </w:r>
    </w:p>
    <w:p>
      <w:r>
        <w:rPr>
          <w:b/>
        </w:rPr>
        <w:t xml:space="preserve">Ergebnis: </w:t>
      </w:r>
      <w:r>
        <w:t>17 Studien eingeschlossen (3 Beobachtungskohorten mit 173 klinischen Patienten, 13 Fallberichte, 1 in-vitro-Studie): diverse Gram-negative und Gram-positive Erreger ohne konsistente Assoziation mit spezifischem Erreger oder Toxin. Myokardschädigung überwiegend durch Biomarker identifiziert, begrenzte Obduktionsbestätigungen. Keine Studie war für kausale oder vergleichende pathogene Mechanismen konzipiert. Verfügbare Daten zeigen heterogene infektiöse Kontexte ohne valide Erregerzuordnung.</w:t>
      </w:r>
    </w:p>
    <w:p>
      <w:r>
        <w:rPr>
          <w:b/>
          <w:sz w:val="19"/>
        </w:rPr>
        <w:t xml:space="preserve">Übertragbarkeit: </w:t>
      </w:r>
      <w:r>
        <w:rPr>
          <w:sz w:val="19"/>
        </w:rPr>
        <w:t>Skandinavien, Studiendesign zeigt Erkenntnislücke zur septischen Myokardschädigung; Implikation für Versorgung</w:t>
      </w:r>
    </w:p>
    <w:p>
      <w:r>
        <w:rPr>
          <w:color w:val="5A7D3A"/>
          <w:sz w:val="18"/>
        </w:rPr>
        <w:t>https://pubmed.ncbi.nlm.nih.gov/42648781/</w:t>
      </w:r>
    </w:p>
    <w:p>
      <w:pPr>
        <w:pStyle w:val="Heading2"/>
      </w:pPr>
      <w:r>
        <w:t>Arzneimittelkaskaden: 0,69%–3,29% Inzidenz vermeidbarer Medikationsfehler bei älteren Patienten</w:t>
      </w:r>
    </w:p>
    <w:p>
      <w:r>
        <w:rPr>
          <w:i/>
          <w:color w:val="666666"/>
          <w:sz w:val="18"/>
        </w:rPr>
        <w:t>Gervais F et al.  ·  Age Ageing  ·  03.08.2026  ·  PMID 42647768</w:t>
      </w:r>
    </w:p>
    <w:p>
      <w:r>
        <w:t>Analyse von 16,6 Mio. französischen Patientendaten ≥65 Jahren zur Häufigkeit von Arzneimittelkaskaden (unerwünschte Arzneimittelwirkungen, die fälschlicherweise als neue Erkrankung interpretiert werden und zu zusätzlichen Verschreibungen führen).</w:t>
      </w:r>
    </w:p>
    <w:p>
      <w:r>
        <w:rPr>
          <w:b/>
        </w:rPr>
        <w:t xml:space="preserve">Ergebnis: </w:t>
      </w:r>
      <w:r>
        <w:t>Bei 67% der Patienten mit kognitiver Beeinträchtigung lag Polypharmazie vor. Vier von sieben potenzielle Kaskaden zeigten signifikante positive Signale; stärkste: Benzodiazepin-Antipsychotika-Kaskade (adjustiertes Sequenzratio 2,48, 99%-KI 2,44–2,51) und Antipsychotika-Antiparkinson-Kaskade (2,01, 99%-KI 1,91–2,11). Inzidenz 0,69%–3,29%. Weibliches Geschlecht, Alter ≥85 Jahre, Hospitalisierungsbeginn der Indexmedikation und fehlende Verschreiberkontinuität waren mit höherem Kaskadenrisiko assoziiert.</w:t>
      </w:r>
    </w:p>
    <w:p>
      <w:r>
        <w:rPr>
          <w:b/>
          <w:sz w:val="19"/>
        </w:rPr>
        <w:t xml:space="preserve">Übertragbarkeit: </w:t>
      </w:r>
      <w:r>
        <w:rPr>
          <w:sz w:val="19"/>
        </w:rPr>
        <w:t>Frankreich, vergleichbar mit deutschem Sozialversicherungssystem und Dokumentationspflichten</w:t>
      </w:r>
    </w:p>
    <w:p>
      <w:r>
        <w:rPr>
          <w:color w:val="5A7D3A"/>
          <w:sz w:val="18"/>
        </w:rPr>
        <w:t>https://pubmed.ncbi.nlm.nih.gov/42647768/</w:t>
      </w:r>
    </w:p>
    <w:p>
      <w:pPr>
        <w:pStyle w:val="Heading2"/>
      </w:pPr>
      <w:r>
        <w:t>Periphere Vasopressoren: Protokollabweichungen führten selten zu klinisch relevanter Gewebeschädigung</w:t>
      </w:r>
    </w:p>
    <w:p>
      <w:r>
        <w:rPr>
          <w:i/>
          <w:color w:val="666666"/>
          <w:sz w:val="18"/>
        </w:rPr>
        <w:t>Shyu D et al.  ·  Crit Care Explor  ·  01.09.2026  ·  PMID 42640631</w:t>
      </w:r>
    </w:p>
    <w:p>
      <w:r>
        <w:t>Retrospektive Observationsstudie in 10 Krankenhäusern (Oktober 2020–Mai 2023) zu Abweichungen von einem institutionellen Protokoll für periphere Vasopressorengabe und deren Assoziation mit Extravasationen.</w:t>
      </w:r>
    </w:p>
    <w:p>
      <w:r>
        <w:rPr>
          <w:b/>
        </w:rPr>
        <w:t xml:space="preserve">Ergebnis: </w:t>
      </w:r>
      <w:r>
        <w:t>Von 3518 Patienten mit peripherer Vasopressorengabe hatten 1258 verdächtige Protokollabweichungen; 73 von 162 zur Detailrevision ausgewählten bestätigt: 86,3% überschritten Höchstdosis, 23 bekamen mehrere gleichzeitig, 13 infundiert &gt;24h, 13 periphere Vasopressin. 79,4% der Abweichungen bei Schock-Verschlimmerung vor zentralem Zugang. Extravasation: 13,7% (10 Patienten), 3 erhielten Phentolamin. In Sekundäranalyse: 47/3518 (1,3%) bekamen Phentolamin, davon 72,4% protokollkonform zum Zeitpunkt der Extravasation.</w:t>
      </w:r>
    </w:p>
    <w:p>
      <w:r>
        <w:rPr>
          <w:b/>
          <w:sz w:val="19"/>
        </w:rPr>
        <w:t xml:space="preserve">Übertragbarkeit: </w:t>
      </w:r>
      <w:r>
        <w:rPr>
          <w:sz w:val="19"/>
        </w:rPr>
        <w:t>USA, aber Sicherheitsbefund unabhängig von System; Frage der Protokollsicherheit übertragbar</w:t>
      </w:r>
    </w:p>
    <w:p>
      <w:r>
        <w:rPr>
          <w:color w:val="5A7D3A"/>
          <w:sz w:val="18"/>
        </w:rPr>
        <w:t>https://pubmed.ncbi.nlm.nih.gov/42640631/</w:t>
      </w:r>
    </w:p>
    <w:p>
      <w:pPr>
        <w:pStyle w:val="Heading2"/>
      </w:pPr>
      <w:r>
        <w:t>Spezielles Endotrachealtubus-System reduziert mikrobielle Vermischung zwischen Atemwegsetagen bei Beatmung</w:t>
      </w:r>
    </w:p>
    <w:p>
      <w:r>
        <w:rPr>
          <w:i/>
          <w:color w:val="666666"/>
          <w:sz w:val="18"/>
        </w:rPr>
        <w:t>Pilkowski AE et al.  ·  Respir Res  ·  01.08.2026  ·  PMID 42571013</w:t>
      </w:r>
    </w:p>
    <w:p>
      <w:r>
        <w:t>Randomisierte Pilotstudie (n=50, 21 mit kompletten Daten) zum Vergleich eines Spezial-Endotrachealtubus (Venner PneuX®) mit permanenter Cuff-Druckkontrolle, subglottischer Absaugung und biofilm-resistenter Beschichtung gegenüber Standard-Intubation bezüglich mikrobieller Austausche zwischen Atemwegsetagen als indirektes Messkriterium für Mikroaspiration bei Beatmungs-assoziierter Pneumonie (VAP).</w:t>
      </w:r>
    </w:p>
    <w:p>
      <w:r>
        <w:rPr>
          <w:b/>
        </w:rPr>
        <w:t xml:space="preserve">Ergebnis: </w:t>
      </w:r>
      <w:r>
        <w:t>Standard-Intubation führte zu progressiver mikrobieller Konvergenz zwischen Tubus und Trachealsekreten (Morisita-Horn 0,55→0,30, p=0,001) sowie Divergenz der Lungenregionen (0,08→0,31, p=0,003). Im Venner-PneuX-Gruppe zeigten sich keine signifikanten Distanzänderungen. Die Ergebnisse bieten biologische Plausibilität für bisher berichtete VAP-Reduktionen mit diesem System.</w:t>
      </w:r>
    </w:p>
    <w:p>
      <w:r>
        <w:rPr>
          <w:b/>
          <w:sz w:val="19"/>
        </w:rPr>
        <w:t xml:space="preserve">Übertragbarkeit: </w:t>
      </w:r>
      <w:r>
        <w:rPr>
          <w:sz w:val="19"/>
        </w:rPr>
        <w:t>Deutschland, prospektive Pilotdaten für klinisch relevante Prävention; externe Validierung ausstehend</w:t>
      </w:r>
    </w:p>
    <w:p>
      <w:r>
        <w:rPr>
          <w:color w:val="5A7D3A"/>
          <w:sz w:val="18"/>
        </w:rPr>
        <w:t>https://pubmed.ncbi.nlm.nih.gov/42571013/</w:t>
      </w:r>
    </w:p>
    <w:p>
      <w:pPr>
        <w:pStyle w:val="Heading2"/>
      </w:pPr>
      <w:r>
        <w:t>Therapieunterbrechungsfehler an automatisierten Dialysegeräten: 49 Fehlertypen systematisch kategorisiert und gelöst</w:t>
      </w:r>
    </w:p>
    <w:p>
      <w:r>
        <w:rPr>
          <w:i/>
          <w:color w:val="666666"/>
          <w:sz w:val="18"/>
        </w:rPr>
        <w:t>Albert A et al.  ·  BMC Health Serv Res  ·  08.08.2026  ·  PMID 42571003</w:t>
      </w:r>
    </w:p>
    <w:p>
      <w:r>
        <w:t>Retrospektive Analyse von Systemfehlern an HomeChoice-Dialysegeräten (2015–2023) in einer deutschen Referenzklinik mit Ziel, Therapieunterbrechungen zu dokumentieren und lösungsorientierte Strategien für Pflegepersonal und Patienten bereitzustellen.</w:t>
      </w:r>
    </w:p>
    <w:p>
      <w:r>
        <w:rPr>
          <w:b/>
        </w:rPr>
        <w:t xml:space="preserve">Ergebnis: </w:t>
      </w:r>
      <w:r>
        <w:t>49 verschiedene Fehlertypen in 138 Zwischenfällen über 8 Jahre identifiziert und in 8 Kategorien eingeteilt: Druckkammer-assoziiert (21,74%), Luft im System (19,57%, Fehler 2240 in 17,39%), Digitalboard/EEPROM (17,39%), Energiesystem (16,67%), Türöffnung (7,25%), Heizung (4,35%), ungeklärt (12,32%). Gesamt-Fehlerrate: &lt;0,25% der Behandlungssitzungen. Konkrete Troubleshooting-Algorithmen für Personal und Patienten bereitgestellt.</w:t>
      </w:r>
    </w:p>
    <w:p>
      <w:r>
        <w:rPr>
          <w:b/>
          <w:sz w:val="19"/>
        </w:rPr>
        <w:t xml:space="preserve">Übertragbarkeit: </w:t>
      </w:r>
      <w:r>
        <w:rPr>
          <w:sz w:val="19"/>
        </w:rPr>
        <w:t>Deutschland, routinelle Klinikdaten, direkt übertragbar für Schulung und Herstellerkommunikation</w:t>
      </w:r>
    </w:p>
    <w:p>
      <w:r>
        <w:rPr>
          <w:color w:val="5A7D3A"/>
          <w:sz w:val="18"/>
        </w:rPr>
        <w:t>https://pubmed.ncbi.nlm.nih.gov/42571003/</w:t>
      </w:r>
    </w:p>
    <w:p>
      <w:pPr>
        <w:pStyle w:val="Heading2"/>
      </w:pPr>
      <w:r>
        <w:t>Präoperative Optimierung vor Hüftgelenksersatz: kein signifikanter Effekt auf Infektionen oder Mortalität</w:t>
      </w:r>
    </w:p>
    <w:p>
      <w:r>
        <w:rPr>
          <w:i/>
          <w:color w:val="666666"/>
          <w:sz w:val="18"/>
        </w:rPr>
        <w:t>Sigurdardottir M et al.  ·  BMJ Open  ·  06.08.2026  ·  PMID 42562582</w:t>
      </w:r>
    </w:p>
    <w:p>
      <w:r>
        <w:t>Prospektive quasi-experimentelle Studie mit 1484 Patienten (Interventionsgruppe n=746, Kontrollgruppe n=738) zur Auswirkung eines multifaktoriellen Optimierungsprogramms 6–12 Monate vor elektiven Gelenkersatzoperationen auf oberflächliche Wundinfektionen (SSI), periprosthetic joint infections (PJI) und Mortalität über 3 Jahre.</w:t>
      </w:r>
    </w:p>
    <w:p>
      <w:r>
        <w:rPr>
          <w:b/>
        </w:rPr>
        <w:t xml:space="preserve">Ergebnis: </w:t>
      </w:r>
      <w:r>
        <w:t>Oberflächliche SSI nach 1 Jahr: 5,9% vs. 7,9% (HR 0,67, 95%-KI 0,45–1,01, nicht signifikant). PJI: 2,0% vs. 1,1% (HR 1,80, 95%-KI 0,76–4,30, nicht signifikant). Keine signifikanten Unterschiede bei Mortalität oder postoperativer Gesundheit nach 3 Jahren. Die Interventionsgruppe war zu 77% während der COVID-19-Pandemie operiert worden versus 5% in der Kontrollgruppe.</w:t>
      </w:r>
    </w:p>
    <w:p>
      <w:r>
        <w:rPr>
          <w:b/>
          <w:sz w:val="19"/>
        </w:rPr>
        <w:t xml:space="preserve">Übertragbarkeit: </w:t>
      </w:r>
      <w:r>
        <w:rPr>
          <w:sz w:val="19"/>
        </w:rPr>
        <w:t>Island, Strukturen ähnlich deutschem Gesundheitswesen, klare Lessons-learned für Qualitätsinterventionen</w:t>
      </w:r>
    </w:p>
    <w:p>
      <w:r>
        <w:rPr>
          <w:color w:val="5A7D3A"/>
          <w:sz w:val="18"/>
        </w:rPr>
        <w:t>https://pubmed.ncbi.nlm.nih.gov/42562582/</w:t>
      </w:r>
    </w:p>
    <w:p>
      <w:pPr>
        <w:pStyle w:val="Heading1"/>
      </w:pPr>
      <w:r>
        <w:t>Aufgenommen am 26.08.2026</w:t>
      </w:r>
    </w:p>
    <w:p>
      <w:pPr>
        <w:pStyle w:val="Heading2"/>
      </w:pPr>
      <w:r>
        <w:t>Verzögerte Antibiotikaverordnung mit Entscheidungshilfe reduzierte unangemessene Anwendung um ein Drittel</w:t>
      </w:r>
    </w:p>
    <w:p>
      <w:r>
        <w:rPr>
          <w:i/>
          <w:color w:val="666666"/>
          <w:sz w:val="18"/>
        </w:rPr>
        <w:t>Sievert EDC et al.  ·  Appl Psychol Health Well Being  ·  Aug. 2026  ·  PMID 42568140</w:t>
      </w:r>
    </w:p>
    <w:p>
      <w:r>
        <w:t>Online-Experiment mit 663 britischen Erwachsenen zur Wirkung von WHO-Entscheidungshilfematerial auf verzögerte Antibiotikaverordnungen bei vermuteten Virusinfektionen unter Verhaltensanreizen.</w:t>
      </w:r>
    </w:p>
    <w:p>
      <w:r>
        <w:rPr>
          <w:b/>
        </w:rPr>
        <w:t xml:space="preserve">Ergebnis: </w:t>
      </w:r>
      <w:r>
        <w:t>Unangemessene Antibiotikaverwendung war in allen Entscheidungsunterstützungs-Bedingungen niedriger als in Kontrolle (p&lt;0,001, ηG²=0,02). Entscheidungskonflikt sank signifikant in Interventions-Armen (p&lt;0,001, ηG²=0,02) durch verbesserte Wertklarheit und wahrgenommene Unterstützung. Kombination aus Entscheidungshilfe, Wertintegration und aktivem Symptommonitoring zeigte beste Effekte.</w:t>
      </w:r>
    </w:p>
    <w:p>
      <w:r>
        <w:rPr>
          <w:b/>
          <w:sz w:val="19"/>
        </w:rPr>
        <w:t xml:space="preserve">Übertragbarkeit: </w:t>
      </w:r>
      <w:r>
        <w:rPr>
          <w:sz w:val="19"/>
        </w:rPr>
        <w:t>UK mit NHS-Struktur; Antibiotika-Stewardship-Prinzipien in Deutschland etabliert, Übertragbarkeit gut.</w:t>
      </w:r>
    </w:p>
    <w:p>
      <w:r>
        <w:rPr>
          <w:color w:val="5A7D3A"/>
          <w:sz w:val="18"/>
        </w:rPr>
        <w:t>https://pubmed.ncbi.nlm.nih.gov/42568140/</w:t>
      </w:r>
    </w:p>
    <w:p>
      <w:pPr>
        <w:pStyle w:val="Heading2"/>
      </w:pPr>
      <w:r>
        <w:t>Strukturiertes Infektionsrisiko-Assessment identifiziert 65 % der Patienten als gefährdet</w:t>
      </w:r>
    </w:p>
    <w:p>
      <w:r>
        <w:rPr>
          <w:i/>
          <w:color w:val="666666"/>
          <w:sz w:val="18"/>
        </w:rPr>
        <w:t>Luís TB et al.  ·  Front Public Health  ·  23.07.2026  ·  PMID 42564447</w:t>
      </w:r>
    </w:p>
    <w:p>
      <w:r>
        <w:t>Multizentrisches Querschnitts-Observatorium mit 1.092 hospitalisierten Erwachsenen in Portugal zur Prävalenz und Risikofaktoren für Infektionen mittels RAC-Skala (Risk Assessment for Infection).</w:t>
      </w:r>
    </w:p>
    <w:p>
      <w:r>
        <w:rPr>
          <w:b/>
        </w:rPr>
        <w:t xml:space="preserve">Ergebnis: </w:t>
      </w:r>
      <w:r>
        <w:t>Moderate (53,6 %) oder hohe (11,4 %) Infektionsrisiken nach Perzentil-Stratifikation. Höhere Risiken assoziiert mit Alter, Multimorbidität, beeinträchtigter Gewebsintegrität, reduzierter Mobilität, Vorspitalisierung, Verlegung, Liegedauer, invasiven Prozeduren. ROC-Analyse mit guter Diskriminierung; Medizin-Stationen hatten signifikant höhere Risikoscores als Chirurgie.</w:t>
      </w:r>
    </w:p>
    <w:p>
      <w:r>
        <w:rPr>
          <w:b/>
          <w:sz w:val="19"/>
        </w:rPr>
        <w:t xml:space="preserve">Übertragbarkeit: </w:t>
      </w:r>
      <w:r>
        <w:rPr>
          <w:sz w:val="19"/>
        </w:rPr>
        <w:t>Portugal/SÜDEUROPA mit ähnlichen Dokumentationssystemen; RAC-Skala als strukturiertes Instrument universell anwendbar.</w:t>
      </w:r>
    </w:p>
    <w:p>
      <w:r>
        <w:rPr>
          <w:color w:val="5A7D3A"/>
          <w:sz w:val="18"/>
        </w:rPr>
        <w:t>https://pubmed.ncbi.nlm.nih.gov/42564447/</w:t>
      </w:r>
    </w:p>
    <w:p>
      <w:pPr>
        <w:pStyle w:val="Heading1"/>
      </w:pPr>
      <w:r>
        <w:t>Aufgenommen am 25.08.2026</w:t>
      </w:r>
    </w:p>
    <w:p>
      <w:pPr>
        <w:pStyle w:val="Heading2"/>
      </w:pPr>
      <w:r>
        <w:t>Online-adaptive Radiotherapie: Systemische FMEA identifiziert 300 Fehlermöglichkeiten</w:t>
      </w:r>
    </w:p>
    <w:p>
      <w:r>
        <w:rPr>
          <w:i/>
          <w:color w:val="666666"/>
          <w:sz w:val="18"/>
        </w:rPr>
        <w:t>Balaji D et al.  ·  J Appl Clin Med Phys  ·  Sept. 2026  ·  PMID 42638337</w:t>
      </w:r>
    </w:p>
    <w:p>
      <w:r>
        <w:t>Systematische Literaturübersicht von 11 Studien analysiert Fehlermodi und deren Auswirkungen (FMEA) in Workflows der Online-Adaptive Radiotherapie (MR-guided, CBCT-guided, MR-enhanced C-arm Systeme).</w:t>
      </w:r>
    </w:p>
    <w:p>
      <w:r>
        <w:rPr>
          <w:b/>
        </w:rPr>
        <w:t xml:space="preserve">Ergebnis: </w:t>
      </w:r>
      <w:r>
        <w:t>300 einzigartige Fehlermodi identifiziert, 49,6% als hochriskant (Klasse III) klassifiziert. Hochriskante Fehler konzentrieren sich in Online-Behandlungs-Phase, besonders bei Mensch-Computer-Interaktion und anatomischer Konturierung. Analyse zeigt Heterogenität in Risiko-Bewertungsmethoden, harmonisiert zu 3er-Klassifikation (Class I: niedrig, II: mittel, III: hoch).</w:t>
      </w:r>
    </w:p>
    <w:p>
      <w:r>
        <w:rPr>
          <w:b/>
          <w:sz w:val="19"/>
        </w:rPr>
        <w:t xml:space="preserve">Übertragbarkeit: </w:t>
      </w:r>
      <w:r>
        <w:rPr>
          <w:sz w:val="19"/>
        </w:rPr>
        <w:t>Deutschland und Benelux, vergleichbare Qualitätsmanagementsysteme in klinischen Zentren</w:t>
      </w:r>
    </w:p>
    <w:p>
      <w:r>
        <w:rPr>
          <w:color w:val="5A7D3A"/>
          <w:sz w:val="18"/>
        </w:rPr>
        <w:t>https://pubmed.ncbi.nlm.nih.gov/42638337/</w:t>
      </w:r>
    </w:p>
    <w:p>
      <w:pPr>
        <w:pStyle w:val="Heading2"/>
      </w:pPr>
      <w:r>
        <w:t>Nosokomiale Ausbrüche in Hämatologie-Onkologie: Strukturierte Analyse identifiziert Risikofaktoren</w:t>
      </w:r>
    </w:p>
    <w:p>
      <w:r>
        <w:rPr>
          <w:i/>
          <w:color w:val="666666"/>
          <w:sz w:val="18"/>
        </w:rPr>
        <w:t>Posselt SL et al.  ·  BMC Infect Dis  ·  20.08.2026  ·  PMID 42638092</w:t>
      </w:r>
    </w:p>
    <w:p>
      <w:r>
        <w:t>Strukturierte Analyse von 196 nosokomialen Ausbrüchen in Hämatologie und Onkologie aus internationaler Datenbank mit Betrachtung von Infektionserregern, Übertragungswegen und implementierten Infektionskontrollmaßnahmen.</w:t>
      </w:r>
    </w:p>
    <w:p>
      <w:r>
        <w:rPr>
          <w:b/>
        </w:rPr>
        <w:t xml:space="preserve">Ergebnis: </w:t>
      </w:r>
      <w:r>
        <w:t>Blutstream- und untere Atemwegsinfektionen waren am häufigsten; Pseudomonas aeruginosa und Enterokokken als Haupterreger. Multivariable Analyse identifizierte als unabhängig assoziiert mit hohem Infektionskontrollaufwand: Pilzerreger (OR 6,26; KI 1,60–24,44), multiresistente Bakterien (OR 6,01; KI 2,56–14,09), antibiotische Therapie (OR 2,97; KI 1,05–8,38), ≥10 Patienten in Ausbruch (OR 2,54; KI 1,11–5,81), direkter Kontakttransfer (OR 3,42; KI 1,43–8,16). Untere Atemwegsinfektionen stark assoziiert mit Mortalität (OR 7,95; KI 2,06–30,73).</w:t>
      </w:r>
    </w:p>
    <w:p>
      <w:r>
        <w:rPr>
          <w:b/>
          <w:sz w:val="19"/>
        </w:rPr>
        <w:t xml:space="preserve">Übertragbarkeit: </w:t>
      </w:r>
      <w:r>
        <w:rPr>
          <w:sz w:val="19"/>
        </w:rPr>
        <w:t>Deutschland, vergleichbare Surveillance-Standards und Dokumentationspflichten</w:t>
      </w:r>
    </w:p>
    <w:p>
      <w:r>
        <w:rPr>
          <w:color w:val="5A7D3A"/>
          <w:sz w:val="18"/>
        </w:rPr>
        <w:t>https://pubmed.ncbi.nlm.nih.gov/42638092/</w:t>
      </w:r>
    </w:p>
    <w:p>
      <w:pPr>
        <w:pStyle w:val="Heading2"/>
      </w:pPr>
      <w:r>
        <w:t>Arzneimittelwechselwirkungen: Unterschiede zwischen Schweizer und österreichischem Meldesystem</w:t>
      </w:r>
    </w:p>
    <w:p>
      <w:r>
        <w:rPr>
          <w:i/>
          <w:color w:val="666666"/>
          <w:sz w:val="18"/>
        </w:rPr>
        <w:t>Rainer M et al.  ·  PLoS One  ·  21.08.2026  ·  PMID 42627821</w:t>
      </w:r>
    </w:p>
    <w:p>
      <w:r>
        <w:t>Retrospektive Analyse von 1499 Meldungen zu Arzneimittelwechselwirkungen in Pharmakvigilanz-Systemen der Schweiz (n=1159) und Österreich (n=340) zwischen 2008 und April 2024 mit Fokus auf Unterschiede in Meldevolumen, Qualität und Systemeigenheiten.</w:t>
      </w:r>
    </w:p>
    <w:p>
      <w:r>
        <w:rPr>
          <w:b/>
        </w:rPr>
        <w:t xml:space="preserve">Ergebnis: </w:t>
      </w:r>
      <w:r>
        <w:t>Schweiz meldete 3,4-mal mehr Fälle als Österreich (5,8 vs. 1,7 Fälle/Monat). 80% (CH) bzw. 84% (Ö) als schwerwiegend klassifiziert. Polypharmie stark assoziiert mit schwerwiegenden Folgen (CH: ROR 3,71; KI 3,26–4,23, p&lt;0,0001; Ö: ROR 1,98; KI 1,60–2,44, p&lt;0,0001). Unterschiede in Meldeinhalten: Schweiz eher Mechanismen, Österreich eher Symptome. Unterschiede deuten auf Rolle von Systemdesign und klinischer Pharmazie hin.</w:t>
      </w:r>
    </w:p>
    <w:p>
      <w:r>
        <w:rPr>
          <w:b/>
          <w:sz w:val="19"/>
        </w:rPr>
        <w:t xml:space="preserve">Übertragbarkeit: </w:t>
      </w:r>
      <w:r>
        <w:rPr>
          <w:sz w:val="19"/>
        </w:rPr>
        <w:t>DACH, vergleichbare Gesundheitssysteme und Pharmakvigilanz-Strukturen</w:t>
      </w:r>
    </w:p>
    <w:p>
      <w:r>
        <w:rPr>
          <w:color w:val="5A7D3A"/>
          <w:sz w:val="18"/>
        </w:rPr>
        <w:t>https://pubmed.ncbi.nlm.nih.gov/42627821/</w:t>
      </w:r>
    </w:p>
    <w:p>
      <w:pPr>
        <w:pStyle w:val="Heading2"/>
      </w:pPr>
      <w:r>
        <w:t>Antibiotic Stewardship bei Harnwegsinfektionen im Alter senkte Resistenzen</w:t>
      </w:r>
    </w:p>
    <w:p>
      <w:r>
        <w:rPr>
          <w:i/>
          <w:color w:val="666666"/>
          <w:sz w:val="18"/>
        </w:rPr>
        <w:t>Attauabi M et al.  ·  Euro Surveill  ·  Aug. 2026  ·  PMID 42626792</w:t>
      </w:r>
    </w:p>
    <w:p>
      <w:r>
        <w:t>Nationale Registerstudie in Dänemark (1999–2023) untersucht Zusammenhang zwischen Antibiotikaverbrauch und Resistenzentwicklung gegen Pivmecillinam, Trimethoprim, Nitrofurantoin und Sulfamethizol bei Patienten ≥70 Jahren; Fokus auf Qualitätsverbesserungen seit 2005.</w:t>
      </w:r>
    </w:p>
    <w:p>
      <w:r>
        <w:rPr>
          <w:b/>
        </w:rPr>
        <w:t xml:space="preserve">Ergebnis: </w:t>
      </w:r>
      <w:r>
        <w:t>Höchster Antibiotikaverbrauch 2014 (447 Rezepte pro 1000 Personen ≥70 Jahre), bis 2023 um 28,4% gesunken. Resistenz gegen alle vier Substanzen in E. coli und K. pneumoniae signifikant rückläufig 2018–2023. Stewardship-Intensivierung nach 2013 mit aktualisierten Leitlinien positiv auf Verbrauch und Resistenzen wirksam.</w:t>
      </w:r>
    </w:p>
    <w:p>
      <w:r>
        <w:rPr>
          <w:b/>
          <w:sz w:val="19"/>
        </w:rPr>
        <w:t xml:space="preserve">Übertragbarkeit: </w:t>
      </w:r>
      <w:r>
        <w:rPr>
          <w:sz w:val="19"/>
        </w:rPr>
        <w:t>Skandinavien, vergleichbare Surveillance-Infrastruktur und Stewardship-Rahmenbedingungen</w:t>
      </w:r>
    </w:p>
    <w:p>
      <w:r>
        <w:rPr>
          <w:color w:val="5A7D3A"/>
          <w:sz w:val="18"/>
        </w:rPr>
        <w:t>https://pubmed.ncbi.nlm.nih.gov/42626792/</w:t>
      </w:r>
    </w:p>
    <w:p>
      <w:pPr>
        <w:pStyle w:val="Heading2"/>
      </w:pPr>
      <w:r>
        <w:t>Nosokomiale Infektionen nach Gastrointestinal-Krebsoperation: Neoadjuvante Radiotherapie als Risikofaktor</w:t>
      </w:r>
    </w:p>
    <w:p>
      <w:r>
        <w:rPr>
          <w:i/>
          <w:color w:val="666666"/>
          <w:sz w:val="18"/>
        </w:rPr>
        <w:t>Fieraru IM et al.  ·  Front Public Health  ·  05.08.2026  ·  PMID 42620635</w:t>
      </w:r>
    </w:p>
    <w:p>
      <w:r>
        <w:t>Prospektive Beobachtungsstudie in rumänischem Zentrum (211 Patienten, Mai 2023–Juli 2024) an Magen- und Kolonkarzinom-Operationen: 30-Tage-Infektionen dokumentiert, Risikofaktoren analysiert, Antibiotikaresistenzprofil beschrieben.</w:t>
      </w:r>
    </w:p>
    <w:p>
      <w:r>
        <w:rPr>
          <w:b/>
        </w:rPr>
        <w:t xml:space="preserve">Ergebnis: </w:t>
      </w:r>
      <w:r>
        <w:t>15,6% entwickelten ≥1 nosokomiale Infektion (39 Episoden). Chirurgische Wundinfektionen dominant nach unterem GI-Trakt (~46%), Geräte-/Atemwegsinfektionen nach oberem Trakt (~38%). Neoadjuvante Radiotherapie unabhängiger Risikofaktor bei Kolonkarzinom (adj. OR 3,25; KI 1,15–9,19; p=0,026). Von 27 kulturpositiven Isolaten 44,4% multiresistent, einschließlich Carbapenemase-Produzenten; 36,4% Infektionen ohne Kulturdokumentation.</w:t>
      </w:r>
    </w:p>
    <w:p>
      <w:r>
        <w:rPr>
          <w:b/>
          <w:sz w:val="19"/>
        </w:rPr>
        <w:t xml:space="preserve">Übertragbarkeit: </w:t>
      </w:r>
      <w:r>
        <w:rPr>
          <w:sz w:val="19"/>
        </w:rPr>
        <w:t>Osteuropa, aber Infektionserkennung und Dokumentationslücken sind universell relevant</w:t>
      </w:r>
    </w:p>
    <w:p>
      <w:r>
        <w:rPr>
          <w:color w:val="5A7D3A"/>
          <w:sz w:val="18"/>
        </w:rPr>
        <w:t>https://pubmed.ncbi.nlm.nih.gov/42620635/</w:t>
      </w:r>
    </w:p>
    <w:p>
      <w:pPr>
        <w:pStyle w:val="Heading2"/>
      </w:pPr>
      <w:r>
        <w:t>Pediatrisches Trigger-Tool für Deutschsprachige Kinder identifiziert Schäden reliabel</w:t>
      </w:r>
    </w:p>
    <w:p>
      <w:r>
        <w:rPr>
          <w:i/>
          <w:color w:val="666666"/>
          <w:sz w:val="18"/>
        </w:rPr>
        <w:t>Peters A et al.  ·  Eur J Pediatr  ·  17.08.2026  ·  PMID 42608613</w:t>
      </w:r>
    </w:p>
    <w:p>
      <w:r>
        <w:t>Methodische Studie in deutscher Kinderkardiologie (200 stationäre Patienten) entwickelt und validiert das Paediatric Trigger Tool German (PAED-TT-GER) zur retrospektiven Erkennung unerwünschter Ereignisse in Kinderkrankenhäusern.</w:t>
      </w:r>
    </w:p>
    <w:p>
      <w:r>
        <w:rPr>
          <w:b/>
        </w:rPr>
        <w:t xml:space="preserve">Ergebnis: </w:t>
      </w:r>
      <w:r>
        <w:t>57 Trigger ausgewählt (54 Normalstation + 3 PICU). Interrater-Reliabilität gut (ICC 0,794; KI 0,557–0,906). In 200 Patienten 472 Trigger identifiziert (Mittel 2,36/Patient), 45 unerwünschte Ereignisse in 42/200 Patienten (21%) bestätigt. NCC-MERP-Klassifikation: 24 Ereignisse temporärer Schaden mit Intervention (E), 19 verlängerte Hospitalisierung (F), 2 permanenter Schaden (G); 7 (15,6%) präventabel bewertet.</w:t>
      </w:r>
    </w:p>
    <w:p>
      <w:r>
        <w:rPr>
          <w:b/>
          <w:sz w:val="19"/>
        </w:rPr>
        <w:t xml:space="preserve">Übertragbarkeit: </w:t>
      </w:r>
      <w:r>
        <w:rPr>
          <w:sz w:val="19"/>
        </w:rPr>
        <w:t>Deutsches Kinderkardiologie-Zentrum, unmittelbar auf deutsches System übertragbar</w:t>
      </w:r>
    </w:p>
    <w:p>
      <w:r>
        <w:rPr>
          <w:color w:val="5A7D3A"/>
          <w:sz w:val="18"/>
        </w:rPr>
        <w:t>https://pubmed.ncbi.nlm.nih.gov/42608613/</w:t>
      </w:r>
    </w:p>
    <w:p>
      <w:pPr>
        <w:pStyle w:val="Heading2"/>
      </w:pPr>
      <w:r>
        <w:t>Hand-Hygiene-Champion-Programm erhöht Compliance auf Intensivstationen signifikant</w:t>
      </w:r>
    </w:p>
    <w:p>
      <w:r>
        <w:rPr>
          <w:i/>
          <w:color w:val="666666"/>
          <w:sz w:val="18"/>
        </w:rPr>
        <w:t>Batalla MGA et al.  ·  Br J Nurs  ·  06.08.2026  ·  PMID 42555589</w:t>
      </w:r>
    </w:p>
    <w:p>
      <w:r>
        <w:t>Qualitätsverbesserungsprojekt in zwei britischen Universitätsklinika (Februar 2025–Februar 2026) implementiert Hand-Hygiene-Champion-Rolle und misst deren Effekt auf Händehygiene-Compliance in der Intensivmedizin mit Plan-Do-Study-Act-Zyklus.</w:t>
      </w:r>
    </w:p>
    <w:p>
      <w:r>
        <w:rPr>
          <w:b/>
        </w:rPr>
        <w:t xml:space="preserve">Ergebnis: </w:t>
      </w:r>
      <w:r>
        <w:t>Händehygiene-Compliance signifikant höher in Interventionsgruppe mit Champions als in Kontrollgruppe. Compliance stieg über Zeit signifikant post-Implementierung der Hand-Hygiene-Champions an. Programm zeigt Praktikabilität zur Verbesserung Händehygiene-Einhaltung in ICU.</w:t>
      </w:r>
    </w:p>
    <w:p>
      <w:r>
        <w:rPr>
          <w:b/>
          <w:sz w:val="19"/>
        </w:rPr>
        <w:t xml:space="preserve">Übertragbarkeit: </w:t>
      </w:r>
      <w:r>
        <w:rPr>
          <w:sz w:val="19"/>
        </w:rPr>
        <w:t>Vereinigtes Königreich, aber aktive Surveillance mit Peer-Coaching ist international übertragbar</w:t>
      </w:r>
    </w:p>
    <w:p>
      <w:r>
        <w:rPr>
          <w:color w:val="5A7D3A"/>
          <w:sz w:val="18"/>
        </w:rPr>
        <w:t>https://pubmed.ncbi.nlm.nih.gov/42555589/</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Patientensicherheit</dc:title>
  <dc:subject/>
  <dc:creator>Monitor Versorgungsforschung</dc:creator>
  <cp:keywords/>
  <dc:description>generated by python-docx</dc:description>
  <cp:lastModifiedBy/>
  <cp:revision>1</cp:revision>
  <dcterms:created xsi:type="dcterms:W3CDTF">2026-09-04T06:00:00Z</dcterms:created>
  <dcterms:modified xsi:type="dcterms:W3CDTF">2026-09-04T06:00:00Z</dcterms:modified>
  <cp:category/>
</cp:coreProperties>
</file>