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02.09.2026  |  6 Studien  |  safety.m-vf.de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Infektionsprävention: Mangelhafte Gesamtausstattung und Zeitdruck hindern Pflegekräfte an Einhaltung von COVID-19-Schutzmaßnahmen</w:t>
      </w:r>
    </w:p>
    <w:p>
      <w:r>
        <w:rPr>
          <w:i/>
          <w:color w:val="666666"/>
          <w:sz w:val="18"/>
        </w:rPr>
        <w:t>Houghton C et al.  ·  Cochrane Database Syst Rev  ·  01.09.2026  ·  PMID 42677895</w:t>
      </w:r>
    </w:p>
    <w:p>
      <w:r>
        <w:t>Systematischer Review mit qualitativer Evidenz-Synthese aus 26 Studien (davon 7 aus wohlhabenden Ländern) zu Faktoren, die Einhaltung von Infektionsschutzrichtlinien durch Fachpersonal beeinflussen.</w:t>
      </w:r>
    </w:p>
    <w:p>
      <w:r>
        <w:rPr>
          <w:b/>
        </w:rPr>
        <w:t xml:space="preserve">Ergebnis: </w:t>
      </w:r>
      <w:r>
        <w:t>Strukturierte Ergebnisse mit unterschiedlicher Konfidenz: Hohe Konfidenz (n=12 Befunde) – Managementunterstützung, klare Richtlinien-Kommunikation und Schulung fördern Einhaltung; Zeitdruck, Personalmangel und PPE-Mangel behindern sie. Mittlere Konfidenz (n=12), niedrige (n=3). 27 Faktoren insgesamt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26 Studien mit globaler Abdeckung (Asien, Afrika, Europa); größtenteils 2020–2024 während Pandemie.</w:t>
      </w:r>
    </w:p>
    <w:p>
      <w:r>
        <w:rPr>
          <w:color w:val="5A7D3A"/>
          <w:sz w:val="18"/>
        </w:rPr>
        <w:t>https://pubmed.ncbi.nlm.nih.gov/42677895/</w:t>
      </w:r>
    </w:p>
    <w:p>
      <w:pPr>
        <w:pStyle w:val="Heading2"/>
      </w:pPr>
      <w:r>
        <w:t>Apotheker-Stewardship erhöht Antibiotika-Angemessenheit bei Kindern mit Pneumonie von 60% auf 87%</w:t>
      </w:r>
    </w:p>
    <w:p>
      <w:r>
        <w:rPr>
          <w:i/>
          <w:color w:val="666666"/>
          <w:sz w:val="18"/>
        </w:rPr>
        <w:t>Nguyen T et al.  ·  J Am Coll Clin Pharm  ·  Sept. 2026  ·  PMID 42676278</w:t>
      </w:r>
    </w:p>
    <w:p>
      <w:r>
        <w:t>Quasi-experimentelle Vorher-Nachher-Studie in Vietnam mit 560 Kindern (280 vor, 280 nach Intervention), die einen pharmazeutisch geleiteten Antibiotic-Stewardship-Einsatz mit Schulung und Audit evaluierte.</w:t>
      </w:r>
    </w:p>
    <w:p>
      <w:r>
        <w:rPr>
          <w:b/>
        </w:rPr>
        <w:t xml:space="preserve">Ergebnis: </w:t>
      </w:r>
      <w:r>
        <w:t>Gesamtangemessenheit stieg von 60,36% auf 86,79% (p&lt;0,001; Δ=26,4 Prozentpunkte). Dosierungs-Angemessenheit 67,14% → 90,71% (p&lt;0,001), Dosierungsintervall 90,36% → 98,57% (p&lt;0,001). Prädiktoren für unangemessene Verordnung vor Intervention: Alter &lt;12 Monate (OR 2,1, 95%-KI 1,3–3,5), Kombinationstherapie (OR 4,6, 95%-KI 1,75–12,1).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 (Mittel-/Niedrigeinkommen-Land), struktur-kulturelle Unterschiede; Sicherheits-Intervention breit übertragbar.</w:t>
      </w:r>
    </w:p>
    <w:p>
      <w:r>
        <w:rPr>
          <w:color w:val="5A7D3A"/>
          <w:sz w:val="18"/>
        </w:rPr>
        <w:t>https://pubmed.ncbi.nlm.nih.gov/42676278/</w:t>
      </w:r>
    </w:p>
    <w:p>
      <w:pPr>
        <w:pStyle w:val="Heading2"/>
      </w:pPr>
      <w:r>
        <w:t>Multiresistente Klebsiella pneumoniae: Nosokomialer Infektionsanstieg in Polen um das 50-Fache</w:t>
      </w:r>
    </w:p>
    <w:p>
      <w:r>
        <w:rPr>
          <w:i/>
          <w:color w:val="666666"/>
          <w:sz w:val="18"/>
        </w:rPr>
        <w:t>Filipkowska M et al.  ·  Front Cell Infect Microbiol  ·  30.07.2026  ·  PMID 42597730</w:t>
      </w:r>
    </w:p>
    <w:p>
      <w:r>
        <w:t>Beobachtungsstudie mit Aggregatdaten aller polnischen ITS von 2019–2023, die Risikoänderungen für nosokomialen Infektionen mit Methicillin-resistenten und anderen multiresistenten Erregern mittels standardisierter Infektionsrate (SIR) evaluierte.</w:t>
      </w:r>
    </w:p>
    <w:p>
      <w:r>
        <w:rPr>
          <w:b/>
        </w:rPr>
        <w:t xml:space="preserve">Ergebnis: </w:t>
      </w:r>
      <w:r>
        <w:t>MBL/NDM-produzierende K. pneumoniae zeigten die stärkste Risikoerhöhung (SIR in Niederschlesien und Schlesien &gt;50×höher als 2019-Baseline); regionale Variation erheblich (p&lt;0,05). E. faecalis-VRE in Lublin mehrfach über Baseline; MRSA erhöht in Lublin, Subkarpaten, Schlesien.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europa-nächst an Deutschland; öffentlicher Gesundheitsdienst und Meldepflichten ähnlich.</w:t>
      </w:r>
    </w:p>
    <w:p>
      <w:r>
        <w:rPr>
          <w:color w:val="5A7D3A"/>
          <w:sz w:val="18"/>
        </w:rPr>
        <w:t>https://pubmed.ncbi.nlm.nih.gov/42597730/</w:t>
      </w:r>
    </w:p>
    <w:p>
      <w:pPr>
        <w:pStyle w:val="Heading2"/>
      </w:pPr>
      <w:r>
        <w:t>Terminal-Komplement-Inhibition verstärkt Nierenversagen und Blutungsrisiko bei septischem Schock</w:t>
      </w:r>
    </w:p>
    <w:p>
      <w:r>
        <w:rPr>
          <w:i/>
          <w:color w:val="666666"/>
          <w:sz w:val="18"/>
        </w:rPr>
        <w:t>Vahldieck C et al.  ·  J Crit Care  ·  29.07.2026  ·  PMID 42526359</w:t>
      </w:r>
    </w:p>
    <w:p>
      <w:r>
        <w:t>Propensity-Score-adjustierte Kohorten-Studie mit 1.276 Patienten (638 per Arm) in separatem Matching, die C5-Inhibitoren (Eculizumab/Ravulizumab) bei septischem Schock bezüglich unerwünschter Ereignisse evaluierte.</w:t>
      </w:r>
    </w:p>
    <w:p>
      <w:r>
        <w:rPr>
          <w:b/>
        </w:rPr>
        <w:t xml:space="preserve">Ergebnis: </w:t>
      </w:r>
      <w:r>
        <w:t>Unter Komplement-Inhibition: Thrombozytopenie 20,3% vs. 8,9% (p&lt;0,001), akutes Nierenversagen 25,0% vs. 13,3% (p&lt;0,001), thrombotische Ereignisse 7,8% vs. 4,7% (p=0,021). Nierenersatztherapie 8,3% vs. 5,1% (p=0,026). 30-Tage-Mortalität ohne signifikanten Unterschied (nicht berichtet).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 (TriNetX-Netzwerk), Haftungsklima unterscheidet sich; nur Sicherheitsbefunde übertragbar.</w:t>
      </w:r>
    </w:p>
    <w:p>
      <w:r>
        <w:rPr>
          <w:color w:val="5A7D3A"/>
          <w:sz w:val="18"/>
        </w:rPr>
        <w:t>https://pubmed.ncbi.nlm.nih.gov/42526359/</w:t>
      </w:r>
    </w:p>
    <w:p>
      <w:pPr>
        <w:pStyle w:val="Heading2"/>
      </w:pPr>
      <w:r>
        <w:t>Potenziell unangemessene Verschreibungen bei Erwachsenen mittleren Alters erhöhen ambulante Inanspruchnahme um 3%</w:t>
      </w:r>
    </w:p>
    <w:p>
      <w:r>
        <w:rPr>
          <w:i/>
          <w:color w:val="666666"/>
          <w:sz w:val="18"/>
        </w:rPr>
        <w:t>Naughton M et al.  ·  BMJ Open  ·  27.07.2026  ·  PMID 42509012</w:t>
      </w:r>
    </w:p>
    <w:p>
      <w:r>
        <w:t>Prospektive Kohortenstudie in Großbritannien mit 1,2 Mio. Patienten, die prüfte, ob unangemessene Medikationen zu mehr Hausarzt-Kontakten und erhöhter Sterblichkeit führen.</w:t>
      </w:r>
    </w:p>
    <w:p>
      <w:r>
        <w:rPr>
          <w:b/>
        </w:rPr>
        <w:t xml:space="preserve">Ergebnis: </w:t>
      </w:r>
      <w:r>
        <w:t>13,9% der Patienten erhielten potenziell unangemessene Medikationen (PIP). Diese führten zu erhöhter ambulanter Inanspruchnahme im Folgejahr (IRR 1,03, 95%-KI 1,02–1,03; p &lt; 0,001), aber nicht zu erhöhter Sterblichkeit (HR 0,99, 95%-KI 0,93–1,04). Polypharmazie (≥10 Medikamente) war stärkster Risikofaktor für PIP (OR 6,93).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mit vergleichbarem ambulanten System; deutsche Primärdaten begrenzt verfügbar.</w:t>
      </w:r>
    </w:p>
    <w:p>
      <w:r>
        <w:rPr>
          <w:color w:val="5A7D3A"/>
          <w:sz w:val="18"/>
        </w:rPr>
        <w:t>https://pubmed.ncbi.nlm.nih.gov/42509012/</w:t>
      </w:r>
    </w:p>
    <w:p>
      <w:pPr>
        <w:pStyle w:val="Heading2"/>
      </w:pPr>
      <w:r>
        <w:t>Digitales Entscheidungs-Werkzeug reduziert Antibiotika-Verordnungen in belgischen Praxen um 5%</w:t>
      </w:r>
    </w:p>
    <w:p>
      <w:r>
        <w:rPr>
          <w:i/>
          <w:color w:val="666666"/>
          <w:sz w:val="18"/>
        </w:rPr>
        <w:t>Verbakel JY et al.  ·  BMJ Open  ·  24.07.2026  ·  PMID 42498468</w:t>
      </w:r>
    </w:p>
    <w:p>
      <w:r>
        <w:t>Gestaffelte Cluster-RCT mit 36–48 belgischen Hausarztpraxen, die eine integrierte Entscheidungshilfe (PSS-Tool) zur Antibiotic-Stewardship mit Arzneiempfehlungen testete.</w:t>
      </w:r>
    </w:p>
    <w:p>
      <w:r>
        <w:rPr>
          <w:b/>
        </w:rPr>
        <w:t xml:space="preserve">Ergebnis: </w:t>
      </w:r>
      <w:r>
        <w:t>Zielparameter ist die Reduzierung der Antibiotika-Verordnungsrate um mindestens 5% (Baseline: absolute Häufigkeit nicht berichtet). 80% Teststärke mit n=36–48 Praxen geplant. Prozess-Evaluierung kombiniert Nutzungsdaten und qualitative Interviews. Ethik-Approval: 10.10.2025; Registrierung NCT07347015.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EU-Struktur, vergleichbare Primärversorgung mit Deutschland.</w:t>
      </w:r>
    </w:p>
    <w:p>
      <w:r>
        <w:rPr>
          <w:color w:val="5A7D3A"/>
          <w:sz w:val="18"/>
        </w:rPr>
        <w:t>https://pubmed.ncbi.nlm.nih.gov/42498468/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