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15.09.2026  |  6 Studien  |  safety.m-vf.de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Notfalldesinfektion von Einmalmedizinprodukten: Peressigsäure und Ethanol reduzierten Keime um über 90 %</w:t>
      </w:r>
    </w:p>
    <w:p>
      <w:r>
        <w:rPr>
          <w:i/>
          <w:color w:val="666666"/>
          <w:sz w:val="18"/>
        </w:rPr>
        <w:t>Chevalley K et al.  ·  Prehosp Disaster Med  ·  14.09.2026  ·  PMID 42734164</w:t>
      </w:r>
    </w:p>
    <w:p>
      <w:r>
        <w:t>Bei Versorgungsengpässen wurden klinisch genutzte Einmalmedizinprodukte (Tuben, Masken, Katheter) mit Peressigsäure, 70%-Ethanol oder Spülmittel gereinigt und dann auf Keimbelastung sowie funktionelle Integrität getestet.</w:t>
      </w:r>
    </w:p>
    <w:p>
      <w:r>
        <w:rPr>
          <w:b/>
        </w:rPr>
        <w:t xml:space="preserve">Ergebnis: </w:t>
      </w:r>
      <w:r>
        <w:t>Alle drei Mittel reduzierten die bakterielle Belastung statistisch signifikant (p&lt;0,05), ohne strukturelle Schäden zu verursachen. H. influenzae und S. aureus waren vor Reinigung in 47 % der Atemwegsgeräte nachweisbar, danach in keiner Probe. Methode ersetzt kein validiertes Sterilisationsverfahren, könnte aber Notfall-Letztresort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mit Kriegsszenario relevante Szene; Methoden sind auch in Deutschland anwendbar, für Lagerhaltung im Krisenfall zu prüfen.</w:t>
      </w:r>
    </w:p>
    <w:p>
      <w:r>
        <w:rPr>
          <w:color w:val="5A7D3A"/>
          <w:sz w:val="18"/>
        </w:rPr>
        <w:t>https://pubmed.ncbi.nlm.nih.gov/42734164/</w:t>
      </w:r>
    </w:p>
    <w:p>
      <w:pPr>
        <w:pStyle w:val="Heading2"/>
      </w:pPr>
      <w:r>
        <w:t>Sicherheitspläne für psychiatrische Patienten: Zahl stieg, aber Qualität blieb niedrig (7,67 von 22 Punkten)</w:t>
      </w:r>
    </w:p>
    <w:p>
      <w:r>
        <w:rPr>
          <w:i/>
          <w:color w:val="666666"/>
          <w:sz w:val="18"/>
        </w:rPr>
        <w:t>Farmer E et al.  ·  Int J Ment Health Nurs  ·  Okt. 2026  ·  PMID 42725545</w:t>
      </w:r>
    </w:p>
    <w:p>
      <w:r>
        <w:t>Ein australisches Spital führte Schulung für strukturierte Sicherheitspläne bei entlassungsreifen psychiatrischen Patienten ein und untersuchte Implementierungsbefunde und Qualität.</w:t>
      </w:r>
    </w:p>
    <w:p>
      <w:r>
        <w:rPr>
          <w:b/>
        </w:rPr>
        <w:t xml:space="preserve">Ergebnis: </w:t>
      </w:r>
      <w:r>
        <w:t>Zahl der erstellten Pläne nahm zu. Durchschnittliche Qualität aber niedrig (7,67 Punkte auf 22-Punkte-Skala). Qualitative Befunde ergaben Barrieren: Zeitdruck, unzureichende Schulung, Procedural Drift. Fachkräfte und Patienten erwähnten Wert, aber fehlende Komponenten (Frühwarnzeichen, Bewältigungsmechanismen, externe Ressourcen, Mittelzugang).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Struktur übertragbar; zeigt Implementierungs-Compliance-Problem: Prozess läuft, Qualität nicht.</w:t>
      </w:r>
    </w:p>
    <w:p>
      <w:r>
        <w:rPr>
          <w:color w:val="5A7D3A"/>
          <w:sz w:val="18"/>
        </w:rPr>
        <w:t>https://pubmed.ncbi.nlm.nih.gov/42725545/</w:t>
      </w:r>
    </w:p>
    <w:p>
      <w:pPr>
        <w:pStyle w:val="Heading2"/>
      </w:pPr>
      <w:r>
        <w:t>Hand- und Handybelastung von Klinikpersonal: Keimabstrichkulturen zeigen positive Assoziation, aber nur teilweise Übereinstimmung</w:t>
      </w:r>
    </w:p>
    <w:p>
      <w:r>
        <w:rPr>
          <w:i/>
          <w:color w:val="666666"/>
          <w:sz w:val="18"/>
        </w:rPr>
        <w:t>Jiang W et al.  ·  Front Cell Infect Microbiol  ·  26.08.2026  ·  PMID 42718797</w:t>
      </w:r>
    </w:p>
    <w:p>
      <w:r>
        <w:t>In einer chinesischen Klinik wurden an 126 Ärzte, Pfleger und Helfer gepaarte Handabstriche und Handyoberflächen-Kulturen genommen, um Kontamination und Übertragungspotential zu charakterisieren.</w:t>
      </w:r>
    </w:p>
    <w:p>
      <w:r>
        <w:rPr>
          <w:b/>
        </w:rPr>
        <w:t xml:space="preserve">Ergebnis: </w:t>
      </w:r>
      <w:r>
        <w:t>Mittlere Handbelastung 11,67 CFU/cm² (IQR 1,67–54,17), Handys 950 CFU (IQR 300–2575). Positive Spearman-Korrelation (rho=0,514, p&lt;0,001). Mediale Jaccard-Ähnlichkeit 0,50, durchschnittlich 1 gemeinsamer Keim pro Paar. Koagulase-negative Staphylokokken einzige signifikante diskordante Detektion.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Handkeim-Epidemiologie universal; Hinweis: Hände und Handys sind nicht synchron kontaminiert – erfordert separate Hygienemaßnahmen.</w:t>
      </w:r>
    </w:p>
    <w:p>
      <w:r>
        <w:rPr>
          <w:color w:val="5A7D3A"/>
          <w:sz w:val="18"/>
        </w:rPr>
        <w:t>https://pubmed.ncbi.nlm.nih.gov/42718797/</w:t>
      </w:r>
    </w:p>
    <w:p>
      <w:pPr>
        <w:pStyle w:val="Heading2"/>
      </w:pPr>
      <w:r>
        <w:t>NHS-Fehlermeldesystem: Gesetzliche Haftungsregeln beeinflussen, was gemeldet wird und was daraus folgt</w:t>
      </w:r>
    </w:p>
    <w:p>
      <w:r>
        <w:rPr>
          <w:i/>
          <w:color w:val="666666"/>
          <w:sz w:val="18"/>
        </w:rPr>
        <w:t>Tingle J  ·  Br J Nurs  ·  06.08.2026  ·  PMID 42555592</w:t>
      </w:r>
    </w:p>
    <w:p>
      <w:r>
        <w:t>Britischer Rechtswissenschaftler analysiert aktuelle NHS-Resolution-Berichte zur Meldekultur und Entschädigungssystematik im englischen Gesundheitswesen.</w:t>
      </w:r>
    </w:p>
    <w:p>
      <w:r>
        <w:rPr>
          <w:b/>
        </w:rPr>
        <w:t xml:space="preserve">Ergebnis: </w:t>
      </w:r>
      <w:r>
        <w:t>Britisches System nutzt kein Schuldprinzip wie Deutschland (§ 630h BGB Umkehr), sondern klärt durch NHS Resolution (Haftung bei diagnostizierbarem Schaden). Meldezahlen daher nicht mit Deutschland vergleichbar. Unterschiede in Entschädigung (no-fault-Prinzipien England vs. Schuldnachweis Deutschland) bestimmen, welche Fehler gemeldet und entschädigt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Großbritannien/England – Haftungssystem (Entschädigung ohne Schuldnachweis) fundamental anders als Deutschland; Transfer-Vorsicht wegen Meldevergleichbarkeit.</w:t>
      </w:r>
    </w:p>
    <w:p>
      <w:r>
        <w:rPr>
          <w:color w:val="5A7D3A"/>
          <w:sz w:val="18"/>
        </w:rPr>
        <w:t>https://pubmed.ncbi.nlm.nih.gov/42555592/</w:t>
      </w:r>
    </w:p>
    <w:p>
      <w:pPr>
        <w:pStyle w:val="Heading2"/>
      </w:pPr>
      <w:r>
        <w:t>After Action Review verbesser­te Fehlerkultur in irischem Spital, nicht aber Sekundärtraumata von Mitarbeitern</w:t>
      </w:r>
    </w:p>
    <w:p>
      <w:r>
        <w:rPr>
          <w:i/>
          <w:color w:val="666666"/>
          <w:sz w:val="18"/>
        </w:rPr>
        <w:t>McCarthy SE et al.  ·  BMC Health Serv Res  ·  15.07.2026  ·  PMID 42458452</w:t>
      </w:r>
    </w:p>
    <w:p>
      <w:r>
        <w:t>Ein irisches Universitätsspital führte Simulation-basiertes Training in After Action Review (AAR) durch und untersuchte, ob dies die Patientensicherheitskultur (HSOPS 2.0) und das Wohlbefinden von Mitarbeitern (SVEST) nach 12 Monaten verbessert.</w:t>
      </w:r>
    </w:p>
    <w:p>
      <w:r>
        <w:rPr>
          <w:b/>
        </w:rPr>
        <w:t xml:space="preserve">Ergebnis: </w:t>
      </w:r>
      <w:r>
        <w:t>37 % des Personals kannte AAR, 10 % nahmen teil. 39 AAR-Sitzungen wurden durchgeführt (Kosten durchschnittlich 48 Euro). Gesamtsicherheitskultur stieg nicht an (33 % vs. 16 % Responserate, Fallzahl n=586). Aber: Reaktion auf Fehler verbesserte sich (mit AAR-Teilnahme assoziiert). Psychisches und physisches Wohlbefinden der Mitarbeiter verschlechterte sich, ebenso berufliche Selbstwirksamkeit.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 Meldekultur; AAR-Struktur ist deutsch übertragbar, Resultate aber ernüchternd.</w:t>
      </w:r>
    </w:p>
    <w:p>
      <w:r>
        <w:rPr>
          <w:color w:val="5A7D3A"/>
          <w:sz w:val="18"/>
        </w:rPr>
        <w:t>https://pubmed.ncbi.nlm.nih.gov/42458452/</w:t>
      </w:r>
    </w:p>
    <w:p>
      <w:pPr>
        <w:pStyle w:val="Heading2"/>
      </w:pPr>
      <w:r>
        <w:t>Öffentlichkeit überschätzte Antidepressiva-Wirkung um 11 Punkte (MADRS) und unterschätzte Nebenwirkungshäufigkeit</w:t>
      </w:r>
    </w:p>
    <w:p>
      <w:r>
        <w:rPr>
          <w:i/>
          <w:color w:val="666666"/>
          <w:sz w:val="18"/>
        </w:rPr>
        <w:t>Apel K et al.  ·  Sci Rep  ·  15.07.2026  ·  PMID 42457810</w:t>
      </w:r>
    </w:p>
    <w:p>
      <w:r>
        <w:t>Deutsche Querschnittsstudie (208 Personen mit und ohne Depressionserfahrung) mithilfe von Fallszenarien und normierten Bewertungs­skalen: Wie wirksam müssen Antidepressiva sein, um Nebenwirkungen zu tolerieren.</w:t>
      </w:r>
    </w:p>
    <w:p>
      <w:r>
        <w:rPr>
          <w:b/>
        </w:rPr>
        <w:t xml:space="preserve">Ergebnis: </w:t>
      </w:r>
      <w:r>
        <w:t>Antidepressiva-Wirkung wurde signifikant überschätzt (t(204)=8,96, p&lt;0,001, d=0,63, 11 MADRS-Punkte über echte Rate). Bei 13 von 15 abgefragten Nebenwirkungen wurden Häufigkeiten unterschätzt. Beispiel: Um Anfallsrisiko zu akzeptieren, forderten Befragte Symptomverbesserung um 23,51±8,82 MADRS-Punkte. Diskrepanz zwischen Erwartung und evidenzbasierter Information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(Erlangen), direkt anwendbar; zeigt Beratungslücke: Patient-Arzt-Kommunikation muss Risiken explicit adressieren.</w:t>
      </w:r>
    </w:p>
    <w:p>
      <w:r>
        <w:rPr>
          <w:color w:val="5A7D3A"/>
          <w:sz w:val="18"/>
        </w:rPr>
        <w:t>https://pubmed.ncbi.nlm.nih.gov/42457810/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