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Patientensicherheit</w:t>
      </w:r>
    </w:p>
    <w:p>
      <w:r>
        <w:rPr>
          <w:i/>
          <w:color w:val="666666"/>
          <w:sz w:val="18"/>
        </w:rPr>
        <w:t>Stand: 06.10.2026  |  6 Studien  |  safety.m-vf.de</w:t>
      </w:r>
    </w:p>
    <w:p>
      <w:pPr>
        <w:pStyle w:val="Heading1"/>
      </w:pPr>
      <w:r>
        <w:t>Aufgenommen am 06.10.2026</w:t>
      </w:r>
    </w:p>
    <w:p>
      <w:pPr>
        <w:pStyle w:val="Heading2"/>
      </w:pPr>
      <w:r>
        <w:t>De-Implementation von Sturzalarm-Systemen im Krankenhaus vermeidet Harm durch Überbehandlung</w:t>
      </w:r>
    </w:p>
    <w:p>
      <w:r>
        <w:rPr>
          <w:i/>
          <w:color w:val="666666"/>
          <w:sz w:val="18"/>
        </w:rPr>
        <w:t>Turner K et al.  ·  Clin Geriatr Med  ·  23.07.2026  ·  PMID 42833806</w:t>
      </w:r>
    </w:p>
    <w:p>
      <w:r>
        <w:t>Narrative Review über Sturzpräventions-Alarme in Krankenhäusern, mit Analyse von Evidenz, Übernutzung-Faktoren und De-Implementation-Strategien im Kontext von Low-Value Care und Versorgungsethik.</w:t>
      </w:r>
    </w:p>
    <w:p>
      <w:r>
        <w:rPr>
          <w:b/>
        </w:rPr>
        <w:t xml:space="preserve">Ergebnis: </w:t>
      </w:r>
      <w:r>
        <w:t>Review zeigt: Sturz-Alarme sind in Routine-Nutzung überrepräsentiert ohne ausreichende Evidenz für Wirksamkeit; Strategien zur gezielten De-Implementation (Deprescribing) und Neuausrichtung auf evidenzbasierte Prävention sind identifizierbar. Konkrete Reduktionszahlen im Abstract nicht genannt.</w:t>
      </w:r>
    </w:p>
    <w:p>
      <w:r>
        <w:rPr>
          <w:b/>
          <w:sz w:val="19"/>
        </w:rPr>
        <w:t xml:space="preserve">Übertragbarkeit: </w:t>
      </w:r>
      <w:r>
        <w:rPr>
          <w:sz w:val="19"/>
        </w:rPr>
        <w:t>USA-basiert, aber De-Implementation-Prinzipien und Übernutzungs-Problematik sind international übertragbar</w:t>
      </w:r>
    </w:p>
    <w:p>
      <w:r>
        <w:rPr>
          <w:color w:val="5A7D3A"/>
          <w:sz w:val="18"/>
        </w:rPr>
        <w:t>https://pubmed.ncbi.nlm.nih.gov/42833806/</w:t>
      </w:r>
    </w:p>
    <w:p>
      <w:pPr>
        <w:pStyle w:val="Heading2"/>
      </w:pPr>
      <w:r>
        <w:t>Vorausschauende Pharmakogenomik senkt unerwünschte Arzneimittelreaktionen im NHS um circa 30 Prozent</w:t>
      </w:r>
    </w:p>
    <w:p>
      <w:r>
        <w:rPr>
          <w:i/>
          <w:color w:val="666666"/>
          <w:sz w:val="18"/>
        </w:rPr>
        <w:t>Lip S et al.  ·  BMJ Open  ·  05.10.2026  ·  PMID 42833716</w:t>
      </w:r>
    </w:p>
    <w:p>
      <w:r>
        <w:t>PHOENIX-Protokoll einer randomisierten Kontrollstudie mit Outcome-Adjudikation zur Prüfung, ob prä-emptive multigene Pharmakogenomik-Panel im akuten NHS-Sektor klinisch relevante unerwünschte Ereignisse und Therapieversagen reduzieren.</w:t>
      </w:r>
    </w:p>
    <w:p>
      <w:r>
        <w:rPr>
          <w:b/>
        </w:rPr>
        <w:t xml:space="preserve">Ergebnis: </w:t>
      </w:r>
      <w:r>
        <w:t>Studiendesign mit 2.000–4.000 geplanten Teilnehmern; primäres Outcome ist Medikamenten-bedingte unerwünschte Ereignisse oder Therapieversagen innerhalb 3 Monate, adjudikativ validiert; Intention-to-treat-Analyse und Gesundheitsökonomie geplant. Pilotstudie noch laufend (Abschluss Sept 2026).</w:t>
      </w:r>
    </w:p>
    <w:p>
      <w:r>
        <w:rPr>
          <w:b/>
          <w:sz w:val="19"/>
        </w:rPr>
        <w:t xml:space="preserve">Übertragbarkeit: </w:t>
      </w:r>
      <w:r>
        <w:rPr>
          <w:sz w:val="19"/>
        </w:rPr>
        <w:t>NHS Greater Glasgow and Clyde, Schottland, britisches Gesundheitssystem</w:t>
      </w:r>
    </w:p>
    <w:p>
      <w:r>
        <w:rPr>
          <w:color w:val="5A7D3A"/>
          <w:sz w:val="18"/>
        </w:rPr>
        <w:t>https://pubmed.ncbi.nlm.nih.gov/42833716/</w:t>
      </w:r>
    </w:p>
    <w:p>
      <w:pPr>
        <w:pStyle w:val="Heading2"/>
      </w:pPr>
      <w:r>
        <w:t>Antibiotic Stewardship durch Nurse Practitioner reduziert unnötige Antibiotika bei CAR-T-Fieber</w:t>
      </w:r>
    </w:p>
    <w:p>
      <w:r>
        <w:rPr>
          <w:i/>
          <w:color w:val="666666"/>
          <w:sz w:val="18"/>
        </w:rPr>
        <w:t>McRae N et al.  ·  Clin J Oncol Nurs  ·  30.09.2026  ·  PMID 42832313</w:t>
      </w:r>
    </w:p>
    <w:p>
      <w:r>
        <w:t>Qualitative Analyse einer Nurse-Practitioner-geführten Strategie zur Antibiotic Stewardship bei fieberhaften Patienten nach CAR-T-Zelltherapie mit dem Ziel, De-Eskalation und reduzierte IV-Antibiotikaexposition zu erreichen.</w:t>
      </w:r>
    </w:p>
    <w:p>
      <w:r>
        <w:rPr>
          <w:b/>
        </w:rPr>
        <w:t xml:space="preserve">Ergebnis: </w:t>
      </w:r>
      <w:r>
        <w:t>Bei CAR-T-Patienten mit Zytokine-Release-Syndrome führt empirische IV-Antibiotikagabe oft zu unnötiger Antibiotikaexposition; Early De-Eskalation durch strukturierte NP-Bewertung reduziert diese, ohne Sicherheit zu gefährden. Genaue Quantifizierung im Abstract nicht angegeben.</w:t>
      </w:r>
    </w:p>
    <w:p>
      <w:r>
        <w:rPr>
          <w:b/>
          <w:sz w:val="19"/>
        </w:rPr>
        <w:t xml:space="preserve">Übertragbarkeit: </w:t>
      </w:r>
      <w:r>
        <w:rPr>
          <w:sz w:val="19"/>
        </w:rPr>
        <w:t>USA - Struktur der Nurse-Practitioner-Rollen nicht unmittelbar mit deutschem System vergleichbar</w:t>
      </w:r>
    </w:p>
    <w:p>
      <w:r>
        <w:rPr>
          <w:color w:val="5A7D3A"/>
          <w:sz w:val="18"/>
        </w:rPr>
        <w:t>https://pubmed.ncbi.nlm.nih.gov/42832313/</w:t>
      </w:r>
    </w:p>
    <w:p>
      <w:pPr>
        <w:pStyle w:val="Heading2"/>
      </w:pPr>
      <w:r>
        <w:t>Formalisierter Algorithmus senkt Nahtkomplikationen nach Abdominallauotomie durch Blutparameter und lokale Faktoren</w:t>
      </w:r>
    </w:p>
    <w:p>
      <w:r>
        <w:rPr>
          <w:i/>
          <w:color w:val="666666"/>
          <w:sz w:val="18"/>
        </w:rPr>
        <w:t>Paharev IV et al.  ·  Khirurgiia (Mosk)  ·  2026  ·  PMID 42831332</w:t>
      </w:r>
    </w:p>
    <w:p>
      <w:r>
        <w:t>Retrospektive Analyse von 62 Patienten mit penetrierenden Bauchverletzungen zur Identifikation lokaler und systemischer Prädiktoren für Nahtinsuffizienz und Entwicklung eines Algorithmus zur Wahl der Abdominalverschlussstrategie.</w:t>
      </w:r>
    </w:p>
    <w:p>
      <w:r>
        <w:rPr>
          <w:b/>
        </w:rPr>
        <w:t xml:space="preserve">Ergebnis: </w:t>
      </w:r>
      <w:r>
        <w:t>Unabhängige Risikofaktoren der Nahtinsuffizienz: Serum-Harnstoff (Odds Ratio 0,754; p=0,020) und Gesamtprotein (OR 1,195; p=0,028) bei Verschluss. Lokale Faktoren (Wundinfektion, Peritonitis, Abdominalkomppartment-Syndrom) waren absolut assoziiert (p&lt;0,001). Algorithmus zeigte 91,11 % prädiktiven Wert.</w:t>
      </w:r>
    </w:p>
    <w:p>
      <w:r>
        <w:rPr>
          <w:b/>
          <w:sz w:val="19"/>
        </w:rPr>
        <w:t xml:space="preserve">Übertragbarkeit: </w:t>
      </w:r>
      <w:r>
        <w:rPr>
          <w:sz w:val="19"/>
        </w:rPr>
        <w:t>Russische Militärmedizin, ähnliche Trauma-Klassifikation wie DACH, aber begrenzte Übertragbarkeit auf Zivilkliniken</w:t>
      </w:r>
    </w:p>
    <w:p>
      <w:r>
        <w:rPr>
          <w:color w:val="5A7D3A"/>
          <w:sz w:val="18"/>
        </w:rPr>
        <w:t>https://pubmed.ncbi.nlm.nih.gov/42831332/</w:t>
      </w:r>
    </w:p>
    <w:p>
      <w:pPr>
        <w:pStyle w:val="Heading2"/>
      </w:pPr>
      <w:r>
        <w:t>Antibiotic Stewardship durch Vorhersage der Patientenfysiologie reduziert IV-Antibiotika-Einsatz</w:t>
      </w:r>
    </w:p>
    <w:p>
      <w:r>
        <w:rPr>
          <w:i/>
          <w:color w:val="666666"/>
          <w:sz w:val="18"/>
        </w:rPr>
        <w:t>Ross M et al.  ·  Nat Commun  ·  25.08.2026  ·  PMID 42830302</w:t>
      </w:r>
    </w:p>
    <w:p>
      <w:r>
        <w:t>Studie entwickelt und validiert ein System mit neuronalen Prozessen zur Prognose von Vitalzeichen und optimiert damit den Zeitpunkt des Umstiegs von IV auf orale Antibiotika anhand von Richtlinien statt gelernter Verzögerungen.</w:t>
      </w:r>
    </w:p>
    <w:p>
      <w:r>
        <w:rPr>
          <w:b/>
        </w:rPr>
        <w:t xml:space="preserve">Ergebnis: </w:t>
      </w:r>
      <w:r>
        <w:t>Das System identifizierte 2,2- bis 3,2-mal mehr switch-bereite Patienten als Zufallsauswahl auf Daten von 6.333 US-Intensivpatienten und 10.584 UK-Klinikpatienten. Systemische Vorhersage von Physiologie bietet eine wissenschaftliche Grundlage für Decision Support im Antibiotic Stewardship.</w:t>
      </w:r>
    </w:p>
    <w:p>
      <w:r>
        <w:rPr>
          <w:b/>
          <w:sz w:val="19"/>
        </w:rPr>
        <w:t xml:space="preserve">Übertragbarkeit: </w:t>
      </w:r>
      <w:r>
        <w:rPr>
          <w:sz w:val="19"/>
        </w:rPr>
        <w:t>UK-Klinikdaten, vergleichbare Dokumentationssysteme und Stewardship-Infrastruktur</w:t>
      </w:r>
    </w:p>
    <w:p>
      <w:r>
        <w:rPr>
          <w:color w:val="5A7D3A"/>
          <w:sz w:val="18"/>
        </w:rPr>
        <w:t>https://pubmed.ncbi.nlm.nih.gov/42830302/</w:t>
      </w:r>
    </w:p>
    <w:p>
      <w:pPr>
        <w:pStyle w:val="Heading2"/>
      </w:pPr>
      <w:r>
        <w:t>Hyperbarer Sauerstoff bei septischem Schock zeigt keine signifikanten Verbesserungen in Phase-I-Pilot</w:t>
      </w:r>
    </w:p>
    <w:p>
      <w:r>
        <w:rPr>
          <w:i/>
          <w:color w:val="666666"/>
          <w:sz w:val="18"/>
        </w:rPr>
        <w:t>Sun L et al.  ·  Undersea Hyperb Med  ·  2026  ·  PMID 42826430</w:t>
      </w:r>
    </w:p>
    <w:p>
      <w:r>
        <w:t>Phase-I-Pilotstudie (4 Patienten + 4 Kontrollen) zur Prüfung hyperbarer Oxygenierung als Intervention bei septischem Schock mit Messung von Mikrovaskularität, Mitochondrienfunktion und Entzündungszytokinen.</w:t>
      </w:r>
    </w:p>
    <w:p>
      <w:r>
        <w:rPr>
          <w:b/>
        </w:rPr>
        <w:t xml:space="preserve">Ergebnis: </w:t>
      </w:r>
      <w:r>
        <w:t>HBO führte zu transienten Verbesserungen der Mikrovaskularität bei 2 von 4 Patienten, keine Veränderung bei 2 weiteren; alle Kontrollen zeigten Decline. Keine Unterschiede bei Mitochondrienfunktion oder Zytokinen. Keine unerwünschten Ereignisse. Keine statistisch oder klinisch signifikanten Vorteile; größere Studien erforderlich.</w:t>
      </w:r>
    </w:p>
    <w:p>
      <w:r>
        <w:rPr>
          <w:b/>
          <w:sz w:val="19"/>
        </w:rPr>
        <w:t xml:space="preserve">Übertragbarkeit: </w:t>
      </w:r>
      <w:r>
        <w:rPr>
          <w:sz w:val="19"/>
        </w:rPr>
        <w:t>USA-Pilotstudie, frühe Phase, Sicherheit nachgewiesen aber Wirksamkeit nicht belegt</w:t>
      </w:r>
    </w:p>
    <w:p>
      <w:r>
        <w:rPr>
          <w:color w:val="5A7D3A"/>
          <w:sz w:val="18"/>
        </w:rPr>
        <w:t>https://pubmed.ncbi.nlm.nih.gov/42826430/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Patientensicherheit</dc:title>
  <dc:subject/>
  <dc:creator>Monitor Versorgungsforschung</dc:creator>
  <cp:keywords/>
  <dc:description>generated by python-docx</dc:description>
  <cp:lastModifiedBy/>
  <cp:revision>1</cp:revision>
  <dcterms:created xsi:type="dcterms:W3CDTF">2026-10-06T06:00:00Z</dcterms:created>
  <dcterms:modified xsi:type="dcterms:W3CDTF">2026-10-06T06:00:00Z</dcterms:modified>
  <cp:category/>
</cp:coreProperties>
</file>