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Neueste Studien - Patientensicherheit</w:t>
      </w:r>
    </w:p>
    <w:p>
      <w:r>
        <w:rPr>
          <w:i/>
          <w:color w:val="666666"/>
          <w:sz w:val="18"/>
        </w:rPr>
        <w:t>Stand: 31.08.2026  |  7 Studien  |  safety.m-vf.de</w:t>
      </w:r>
    </w:p>
    <w:p>
      <w:pPr>
        <w:pStyle w:val="Heading1"/>
      </w:pPr>
      <w:r>
        <w:t>Aufgenommen am 31.08.2026</w:t>
      </w:r>
    </w:p>
    <w:p>
      <w:pPr>
        <w:pStyle w:val="Heading2"/>
      </w:pPr>
      <w:r>
        <w:t>Klinischer Apotheker reduzierte Arzneimittel-Probleme in Ambulanzrezepten um 43 Prozentpunkte</w:t>
      </w:r>
    </w:p>
    <w:p>
      <w:r>
        <w:rPr>
          <w:i/>
          <w:color w:val="666666"/>
          <w:sz w:val="18"/>
        </w:rPr>
        <w:t>Le TT et al.  ·  J Am Coll Clin Pharm  ·  Sept. 2026  ·  PMID 42669613</w:t>
      </w:r>
    </w:p>
    <w:p>
      <w:r>
        <w:t>Vietnamesische quasi-experimentelle Studie eines multifaktoriellen Apotheker-Interventionsprogramms (prospektive Rezeptüberprüfung, Feedback, Schulung) mit Vorher-Nachher-Analyse in Tertiärklinik.</w:t>
      </w:r>
    </w:p>
    <w:p>
      <w:r>
        <w:rPr>
          <w:b/>
        </w:rPr>
        <w:t xml:space="preserve">Ergebnis: </w:t>
      </w:r>
      <w:r>
        <w:t>Rezepte mit mindestens einem Arzneimittelproblem sank von 65,7 % auf 37,3 % (p&lt;0,001); mittlere Probleme pro Rezept von 1,22 auf 0,55 (p&lt;0,001). Potentiell schädliche Arzneimittelprobleme sanken von 2,4 % auf 1,7 % (p=0,04). Hauptreduktionen bei Dosis- und Einnahmezeitproblemen. Angepasste Odds Ratio 0,29 (95%-KI 0,26–0,32).</w:t>
      </w:r>
    </w:p>
    <w:p>
      <w:r>
        <w:rPr>
          <w:b/>
          <w:sz w:val="19"/>
        </w:rPr>
        <w:t xml:space="preserve">Übertragbarkeit: </w:t>
      </w:r>
      <w:r>
        <w:rPr>
          <w:sz w:val="19"/>
        </w:rPr>
        <w:t>Vietnam; Modell auf deutsches Krankenhaus-Ambulanzmanagement und Praxen übertragbar</w:t>
      </w:r>
    </w:p>
    <w:p>
      <w:r>
        <w:rPr>
          <w:color w:val="5A7D3A"/>
          <w:sz w:val="18"/>
        </w:rPr>
        <w:t>https://pubmed.ncbi.nlm.nih.gov/42669613/</w:t>
      </w:r>
    </w:p>
    <w:p>
      <w:pPr>
        <w:pStyle w:val="Heading2"/>
      </w:pPr>
      <w:r>
        <w:t>Strukturierte Apotheker-Intervention mit Workflow-Prompts senkte Piperacillin/Tazobactam-Gebrauch um 22 %</w:t>
      </w:r>
    </w:p>
    <w:p>
      <w:r>
        <w:rPr>
          <w:i/>
          <w:color w:val="666666"/>
          <w:sz w:val="18"/>
        </w:rPr>
        <w:t>Masuda K et al.  ·  Korean J Med Educ  ·  31.08.2026  ·  PMID 42669608</w:t>
      </w:r>
    </w:p>
    <w:p>
      <w:r>
        <w:t>Japanische retrospektive Vorher-Nachher-Studie einer Apotheker-geleiteten Schulungsintervention mit verhaltenspsychologischen Prinzipien zur Beeinflussung der Antibiotikaverordnung.</w:t>
      </w:r>
    </w:p>
    <w:p>
      <w:r>
        <w:rPr>
          <w:b/>
        </w:rPr>
        <w:t xml:space="preserve">Ergebnis: </w:t>
      </w:r>
      <w:r>
        <w:t>Piperacillin/Tazobactam-Gebrauch sank um 22,3 % in Days of Therapy (DOT) und zeigt konsistente Reduktionen bei saisonalen Vergleichen. Antibiotic Use Density (AUD) sank parallel. Alle Ärzte absolvierten Schulungsvideo und Nach-Test. Workflow-integrierte Reflexions-Prompts bei jedem Verordnen zeigten Wirkung.</w:t>
      </w:r>
    </w:p>
    <w:p>
      <w:r>
        <w:rPr>
          <w:b/>
          <w:sz w:val="19"/>
        </w:rPr>
        <w:t xml:space="preserve">Übertragbarkeit: </w:t>
      </w:r>
      <w:r>
        <w:rPr>
          <w:sz w:val="19"/>
        </w:rPr>
        <w:t>Japan, beobachtet auch in Deutschland (Antibiotic Stewardship), auf Praxen übertragbar</w:t>
      </w:r>
    </w:p>
    <w:p>
      <w:r>
        <w:rPr>
          <w:color w:val="5A7D3A"/>
          <w:sz w:val="18"/>
        </w:rPr>
        <w:t>https://pubmed.ncbi.nlm.nih.gov/42669608/</w:t>
      </w:r>
    </w:p>
    <w:p>
      <w:pPr>
        <w:pStyle w:val="Heading2"/>
      </w:pPr>
      <w:r>
        <w:t>DBS-Screening erfasst 56 % aller HCV-Infektionen, vermisst aber 2,7 % durch niedrige Viruslast</w:t>
      </w:r>
    </w:p>
    <w:p>
      <w:r>
        <w:rPr>
          <w:i/>
          <w:color w:val="666666"/>
          <w:sz w:val="18"/>
        </w:rPr>
        <w:t>Capelli N et al.  ·  Liver Int  ·  Okt. 2026  ·  PMID 42661472</w:t>
      </w:r>
    </w:p>
    <w:p>
      <w:r>
        <w:t>Fünfjährige Evaluierung von Hepatitis-C-Blutfleck-Screening in französischen Schadensreduktionszentren mit vergleichender Analyse zu Plasma-RNA-Konzentrationen.</w:t>
      </w:r>
    </w:p>
    <w:p>
      <w:r>
        <w:rPr>
          <w:b/>
        </w:rPr>
        <w:t xml:space="preserve">Ergebnis: </w:t>
      </w:r>
      <w:r>
        <w:t>Unter 1.552 gescreenten Personen wurden 428 (27,6 %) als HCV-RNA-positiv identifiziert. Etwa 2,7 % der Infektionen (ca. 12 Fälle) wurden aufgrund der Nachweisgrenze von 1.252 IU/mL vermisst. DBS-Tests machten 56,4 % aller laborgestützten HCV-Diagnosen aus. Die modeste Reduktion der analytischen Sensitivität wird durch den deutlich erhöhten Zugang in unterversorgten Populationen aufgewogen.</w:t>
      </w:r>
    </w:p>
    <w:p>
      <w:r>
        <w:rPr>
          <w:b/>
          <w:sz w:val="19"/>
        </w:rPr>
        <w:t xml:space="preserve">Übertragbarkeit: </w:t>
      </w:r>
      <w:r>
        <w:rPr>
          <w:sz w:val="19"/>
        </w:rPr>
        <w:t>Frankreich, dezentrale Diagnostik; Ansatz auf vulnerable Gruppen übertragbar</w:t>
      </w:r>
    </w:p>
    <w:p>
      <w:r>
        <w:rPr>
          <w:color w:val="5A7D3A"/>
          <w:sz w:val="18"/>
        </w:rPr>
        <w:t>https://pubmed.ncbi.nlm.nih.gov/42661472/</w:t>
      </w:r>
    </w:p>
    <w:p>
      <w:pPr>
        <w:pStyle w:val="Heading2"/>
      </w:pPr>
      <w:r>
        <w:t>Penicilline bei vancomycin-sensiblen Enterococcus-Bakteriämien: effektiv, aber keine Überlegenheit ohne Fokuskontrolle</w:t>
      </w:r>
    </w:p>
    <w:p>
      <w:r>
        <w:rPr>
          <w:i/>
          <w:color w:val="666666"/>
          <w:sz w:val="18"/>
        </w:rPr>
        <w:t>Landrock T et al.  ·  Transbound Emerg Dis  ·  2026  ·  PMID 42661338</w:t>
      </w:r>
    </w:p>
    <w:p>
      <w:r>
        <w:t>Retrospektive deutsche Kohortenstudie an 127 Patienten mit Enterococcus-Bakteriämie, Vergleich Penicillin-basierte versus alternative Therapien.</w:t>
      </w:r>
    </w:p>
    <w:p>
      <w:r>
        <w:rPr>
          <w:b/>
        </w:rPr>
        <w:t xml:space="preserve">Ergebnis: </w:t>
      </w:r>
      <w:r>
        <w:t>30-Tage-Mortalität: Penicilline 13,4 % vs. Alternativen 40 % (p=0,001); mediane Hospitalsdauer 21 vs. 35 Tage. Bei multivariater Analyse mit Propensity Scores war nur septischer Schock (aOR 23,53) unabhängig mit Sterblichkeit assoziiert, nicht die Therapieklasse. Keine Unterschiede bei Rezidivbakteriämie oder Nebenwirkungen.</w:t>
      </w:r>
    </w:p>
    <w:p>
      <w:r>
        <w:rPr>
          <w:b/>
          <w:sz w:val="19"/>
        </w:rPr>
        <w:t xml:space="preserve">Übertragbarkeit: </w:t>
      </w:r>
      <w:r>
        <w:rPr>
          <w:sz w:val="19"/>
        </w:rPr>
        <w:t>Deutschland/Österreich, direkt auf Krankenhausinfektion anwendbar</w:t>
      </w:r>
    </w:p>
    <w:p>
      <w:r>
        <w:rPr>
          <w:color w:val="5A7D3A"/>
          <w:sz w:val="18"/>
        </w:rPr>
        <w:t>https://pubmed.ncbi.nlm.nih.gov/42661338/</w:t>
      </w:r>
    </w:p>
    <w:p>
      <w:pPr>
        <w:pStyle w:val="Heading2"/>
      </w:pPr>
      <w:r>
        <w:t>Netzwerk-gestützte Sentinelüberwachung erkannte Clostridioides difficile 27 % schneller mit nur 15 % Sequenzierung</w:t>
      </w:r>
    </w:p>
    <w:p>
      <w:r>
        <w:rPr>
          <w:i/>
          <w:color w:val="666666"/>
          <w:sz w:val="18"/>
        </w:rPr>
        <w:t>Pople D et al.  ·  Nat Commun  ·  26.08.2026  ·  PMID 42649138</w:t>
      </w:r>
    </w:p>
    <w:p>
      <w:r>
        <w:t>Englische Studie mit Netzwerkanalyse zur optimalen Auswahl von Sentinel-Laboratorien für Whole-Genome-Sequenzierung nosokomialer Infektionen bei limitierter Sequenzierungskapazität.</w:t>
      </w:r>
    </w:p>
    <w:p>
      <w:r>
        <w:rPr>
          <w:b/>
        </w:rPr>
        <w:t xml:space="preserve">Ergebnis: </w:t>
      </w:r>
      <w:r>
        <w:t>Algorithmisch optimierte Sentinelstandorte erkennen neuartige C.-difficile-Stämme 27 % schneller als Zufallsauswahl (Median ~3 statt 4 Wochen), während nur &lt;15 % aller Fälle sequenziert werden. Sensitivitäts- und Szenario-Analysen bestätigten robuste epidemiologische Performance über verschiedene Pfadogeneigenschaften hinweg.</w:t>
      </w:r>
    </w:p>
    <w:p>
      <w:r>
        <w:rPr>
          <w:b/>
          <w:sz w:val="19"/>
        </w:rPr>
        <w:t xml:space="preserve">Übertragbarkeit: </w:t>
      </w:r>
      <w:r>
        <w:rPr>
          <w:sz w:val="19"/>
        </w:rPr>
        <w:t>Großbritannien, übertragbar auf deutsche KRINKO-gestützte Sentinel-Überwachung</w:t>
      </w:r>
    </w:p>
    <w:p>
      <w:r>
        <w:rPr>
          <w:color w:val="5A7D3A"/>
          <w:sz w:val="18"/>
        </w:rPr>
        <w:t>https://pubmed.ncbi.nlm.nih.gov/42649138/</w:t>
      </w:r>
    </w:p>
    <w:p>
      <w:pPr>
        <w:pStyle w:val="Heading2"/>
      </w:pPr>
      <w:r>
        <w:t>Delphi-Konsens: Prävention und Management iatrogener Nebenwirkungen von Immunglobulin-Therapie</w:t>
      </w:r>
    </w:p>
    <w:p>
      <w:r>
        <w:rPr>
          <w:i/>
          <w:color w:val="666666"/>
          <w:sz w:val="18"/>
        </w:rPr>
        <w:t>Ferranti-Ramos A et al.  ·  Front Immunol  ·  06.08.2026  ·  PMID 42625714</w:t>
      </w:r>
    </w:p>
    <w:p>
      <w:r>
        <w:t>Spanischer Expertenkonsens mit modifiziertem Delphi-Verfahren zur Standardisierung von Sicherheitsmaßnahmen bei Immunglobulin-Gaben in primären und sekundären Immundefekten.</w:t>
      </w:r>
    </w:p>
    <w:p>
      <w:r>
        <w:rPr>
          <w:b/>
        </w:rPr>
        <w:t xml:space="preserve">Ergebnis: </w:t>
      </w:r>
      <w:r>
        <w:t>42 von 44 Empfehlungen erreichten ≥75 % Konsens. Hochgradige Einigkeit zu individualisierter Risikoabwägung, Infusionsraten-Anpassung und frühes Nebenwirkungsmanagement. Subkutane Immunglobuline (SCIG) zeigten weniger systemische Reaktionen als intravenös. Serielle Anti-IgA-Tests nur bei selektierten Hochrisikopatienten nötig. Prämediktion nur bei ausgewählten Hochrisikogruppen.</w:t>
      </w:r>
    </w:p>
    <w:p>
      <w:r>
        <w:rPr>
          <w:b/>
          <w:sz w:val="19"/>
        </w:rPr>
        <w:t xml:space="preserve">Übertragbarkeit: </w:t>
      </w:r>
      <w:r>
        <w:rPr>
          <w:sz w:val="19"/>
        </w:rPr>
        <w:t>Spanien; europäisches System, auf deutsches Versicherungswesen übertragbar</w:t>
      </w:r>
    </w:p>
    <w:p>
      <w:r>
        <w:rPr>
          <w:color w:val="5A7D3A"/>
          <w:sz w:val="18"/>
        </w:rPr>
        <w:t>https://pubmed.ncbi.nlm.nih.gov/42625714/</w:t>
      </w:r>
    </w:p>
    <w:p>
      <w:pPr>
        <w:pStyle w:val="Heading2"/>
      </w:pPr>
      <w:r>
        <w:t>MT-RNR1-Testung vor Aminoglykosiden verhindert irreversible Hörstörungen, kosteneffektiv in Neonatensepsis</w:t>
      </w:r>
    </w:p>
    <w:p>
      <w:r>
        <w:rPr>
          <w:i/>
          <w:color w:val="666666"/>
          <w:sz w:val="18"/>
        </w:rPr>
        <w:t>McDermott JH et al.  ·  Br J Clin Pharmacol  ·  29.07.2026  ·  PMID 42524757</w:t>
      </w:r>
    </w:p>
    <w:p>
      <w:r>
        <w:t>Britische Richtlinie zum Einsatz präventiver Pharmacogenomics-Tests für Aminoglykosid-induzierte Ototoxizität anhand von Mitochondrial-DNA-Varianten, basierend auf systematischer Literaturanalyse.</w:t>
      </w:r>
    </w:p>
    <w:p>
      <w:r>
        <w:rPr>
          <w:b/>
        </w:rPr>
        <w:t xml:space="preserve">Ergebnis: </w:t>
      </w:r>
      <w:r>
        <w:t>Drei MT-RNR1-Varianten (m.1555A&gt;G, m.1494C&gt;T, m.1095T&gt;C; Frequenz ~1:330) prädisponieren zu irreversibler Hörschädigung auch bei therapeutischen Dosen. Im Englischen Nationalen Gesundheitssystem ist Labor-basierte Testung finanziert; Point-of-Care-Tests in Neonatensepsis werden durchgeführt und sind frühen Health-Economic-Modellen zufolge kostenersparend. Ca. 20 % des Aminoglykosidgebrauchs ist vorhersehbar und testbar.</w:t>
      </w:r>
    </w:p>
    <w:p>
      <w:r>
        <w:rPr>
          <w:b/>
          <w:sz w:val="19"/>
        </w:rPr>
        <w:t xml:space="preserve">Übertragbarkeit: </w:t>
      </w:r>
      <w:r>
        <w:rPr>
          <w:sz w:val="19"/>
        </w:rPr>
        <w:t>Großbritannien, Mitochondrial-DNA-Testung auf Deutschland übertragbar, Kosten-Nutzen-Analyse erforderlich</w:t>
      </w:r>
    </w:p>
    <w:p>
      <w:r>
        <w:rPr>
          <w:color w:val="5A7D3A"/>
          <w:sz w:val="18"/>
        </w:rPr>
        <w:t>https://pubmed.ncbi.nlm.nih.gov/42524757/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Neueste Studien - Patientensicherheit</dc:title>
  <dc:subject/>
  <dc:creator>Monitor Versorgungsforschung</dc:creator>
  <cp:keywords/>
  <dc:description>generated by python-docx</dc:description>
  <cp:lastModifiedBy/>
  <cp:revision>1</cp:revision>
  <dcterms:created xsi:type="dcterms:W3CDTF">2026-08-31T06:00:00Z</dcterms:created>
  <dcterms:modified xsi:type="dcterms:W3CDTF">2026-08-31T06:00:00Z</dcterms:modified>
  <cp:category/>
</cp:coreProperties>
</file>