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Patientensicherheit</w:t>
      </w:r>
    </w:p>
    <w:p>
      <w:r>
        <w:rPr>
          <w:i/>
          <w:color w:val="666666"/>
          <w:sz w:val="18"/>
        </w:rPr>
        <w:t>Stand: 25.08.2026  |  7 Studien  |  safety.m-vf.de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Online-adaptive Radiotherapie: Systemische FMEA identifiziert 300 Fehlermöglichkeiten</w:t>
      </w:r>
    </w:p>
    <w:p>
      <w:r>
        <w:rPr>
          <w:i/>
          <w:color w:val="666666"/>
          <w:sz w:val="18"/>
        </w:rPr>
        <w:t>Balaji D et al.  ·  J Appl Clin Med Phys  ·  Sept. 2026  ·  PMID 42638337</w:t>
      </w:r>
    </w:p>
    <w:p>
      <w:r>
        <w:t>Systematische Literaturübersicht von 11 Studien analysiert Fehlermodi und deren Auswirkungen (FMEA) in Workflows der Online-Adaptive Radiotherapie (MR-guided, CBCT-guided, MR-enhanced C-arm Systeme).</w:t>
      </w:r>
    </w:p>
    <w:p>
      <w:r>
        <w:rPr>
          <w:b/>
        </w:rPr>
        <w:t xml:space="preserve">Ergebnis: </w:t>
      </w:r>
      <w:r>
        <w:t>300 einzigartige Fehlermodi identifiziert, 49,6% als hochriskant (Klasse III) klassifiziert. Hochriskante Fehler konzentrieren sich in Online-Behandlungs-Phase, besonders bei Mensch-Computer-Interaktion und anatomischer Konturierung. Analyse zeigt Heterogenität in Risiko-Bewertungsmethoden, harmonisiert zu 3er-Klassifikation (Class I: niedrig, II: mittel, III: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Benelux, vergleichbare Qualitätsmanagementsysteme in klinischen Zentren</w:t>
      </w:r>
    </w:p>
    <w:p>
      <w:r>
        <w:rPr>
          <w:color w:val="5A7D3A"/>
          <w:sz w:val="18"/>
        </w:rPr>
        <w:t>https://pubmed.ncbi.nlm.nih.gov/42638337/</w:t>
      </w:r>
    </w:p>
    <w:p>
      <w:pPr>
        <w:pStyle w:val="Heading2"/>
      </w:pPr>
      <w:r>
        <w:t>Nosokomiale Ausbrüche in Hämatologie-Onkologie: Strukturierte Analyse identifiziert Risikofaktoren</w:t>
      </w:r>
    </w:p>
    <w:p>
      <w:r>
        <w:rPr>
          <w:i/>
          <w:color w:val="666666"/>
          <w:sz w:val="18"/>
        </w:rPr>
        <w:t>Posselt SL et al.  ·  BMC Infect Dis  ·  20.08.2026  ·  PMID 42638092</w:t>
      </w:r>
    </w:p>
    <w:p>
      <w:r>
        <w:t>Strukturierte Analyse von 196 nosokomialen Ausbrüchen in Hämatologie und Onkologie aus internationaler Datenbank mit Betrachtung von Infektionserregern, Übertragungswegen und implementierten Infektionskontrollmaßnahmen.</w:t>
      </w:r>
    </w:p>
    <w:p>
      <w:r>
        <w:rPr>
          <w:b/>
        </w:rPr>
        <w:t xml:space="preserve">Ergebnis: </w:t>
      </w:r>
      <w:r>
        <w:t>Blutstream- und untere Atemwegsinfektionen waren am häufigsten; Pseudomonas aeruginosa und Enterokokken als Haupterreger. Multivariable Analyse identifizierte als unabhängig assoziiert mit hohem Infektionskontrollaufwand: Pilzerreger (OR 6,26; KI 1,60–24,44), multiresistente Bakterien (OR 6,01; KI 2,56–14,09), antibiotische Therapie (OR 2,97; KI 1,05–8,38), ≥10 Patienten in Ausbruch (OR 2,54; KI 1,11–5,81), direkter Kontakttransfer (OR 3,42; KI 1,43–8,16). Untere Atemwegsinfektionen stark assoziiert mit Mortalität (OR 7,95; KI 2,06–30,73).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Surveillance-Standards und Dokumentationspflichten</w:t>
      </w:r>
    </w:p>
    <w:p>
      <w:r>
        <w:rPr>
          <w:color w:val="5A7D3A"/>
          <w:sz w:val="18"/>
        </w:rPr>
        <w:t>https://pubmed.ncbi.nlm.nih.gov/42638092/</w:t>
      </w:r>
    </w:p>
    <w:p>
      <w:pPr>
        <w:pStyle w:val="Heading2"/>
      </w:pPr>
      <w:r>
        <w:t>Arzneimittelwechselwirkungen: Unterschiede zwischen Schweizer und österreichischem Meldesystem</w:t>
      </w:r>
    </w:p>
    <w:p>
      <w:r>
        <w:rPr>
          <w:i/>
          <w:color w:val="666666"/>
          <w:sz w:val="18"/>
        </w:rPr>
        <w:t>Rainer M et al.  ·  PLoS One  ·  21.08.2026  ·  PMID 42627821</w:t>
      </w:r>
    </w:p>
    <w:p>
      <w:r>
        <w:t>Retrospektive Analyse von 1499 Meldungen zu Arzneimittelwechselwirkungen in Pharmakvigilanz-Systemen der Schweiz (n=1159) und Österreich (n=340) zwischen 2008 und April 2024 mit Fokus auf Unterschiede in Meldevolumen, Qualität und Systemeigenheiten.</w:t>
      </w:r>
    </w:p>
    <w:p>
      <w:r>
        <w:rPr>
          <w:b/>
        </w:rPr>
        <w:t xml:space="preserve">Ergebnis: </w:t>
      </w:r>
      <w:r>
        <w:t>Schweiz meldete 3,4-mal mehr Fälle als Österreich (5,8 vs. 1,7 Fälle/Monat). 80% (CH) bzw. 84% (Ö) als schwerwiegend klassifiziert. Polypharmie stark assoziiert mit schwerwiegenden Folgen (CH: ROR 3,71; KI 3,26–4,23, p&lt;0,0001; Ö: ROR 1,98; KI 1,60–2,44, p&lt;0,0001). Unterschiede in Meldeinhalten: Schweiz eher Mechanismen, Österreich eher Symptome. Unterschiede deuten auf Rolle von Systemdesign und klinischer Pharmazie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DACH, vergleichbare Gesundheitssysteme und Pharmakvigilanz-Strukturen</w:t>
      </w:r>
    </w:p>
    <w:p>
      <w:r>
        <w:rPr>
          <w:color w:val="5A7D3A"/>
          <w:sz w:val="18"/>
        </w:rPr>
        <w:t>https://pubmed.ncbi.nlm.nih.gov/42627821/</w:t>
      </w:r>
    </w:p>
    <w:p>
      <w:pPr>
        <w:pStyle w:val="Heading2"/>
      </w:pPr>
      <w:r>
        <w:t>Antibiotic Stewardship bei Harnwegsinfektionen im Alter senkte Resistenzen</w:t>
      </w:r>
    </w:p>
    <w:p>
      <w:r>
        <w:rPr>
          <w:i/>
          <w:color w:val="666666"/>
          <w:sz w:val="18"/>
        </w:rPr>
        <w:t>Attauabi M et al.  ·  Euro Surveill  ·  Aug. 2026  ·  PMID 42626792</w:t>
      </w:r>
    </w:p>
    <w:p>
      <w:r>
        <w:t>Nationale Registerstudie in Dänemark (1999–2023) untersucht Zusammenhang zwischen Antibiotikaverbrauch und Resistenzentwicklung gegen Pivmecillinam, Trimethoprim, Nitrofurantoin und Sulfamethizol bei Patienten ≥70 Jahren; Fokus auf Qualitätsverbesserungen seit 2005.</w:t>
      </w:r>
    </w:p>
    <w:p>
      <w:r>
        <w:rPr>
          <w:b/>
        </w:rPr>
        <w:t xml:space="preserve">Ergebnis: </w:t>
      </w:r>
      <w:r>
        <w:t>Höchster Antibiotikaverbrauch 2014 (447 Rezepte pro 1000 Personen ≥70 Jahre), bis 2023 um 28,4% gesunken. Resistenz gegen alle vier Substanzen in E. coli und K. pneumoniae signifikant rückläufig 2018–2023. Stewardship-Intensivierung nach 2013 mit aktualisierten Leitlinien positiv auf Verbrauch und Resistenzen wirksam.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Surveillance-Infrastruktur und Stewardship-Rahmenbedingungen</w:t>
      </w:r>
    </w:p>
    <w:p>
      <w:r>
        <w:rPr>
          <w:color w:val="5A7D3A"/>
          <w:sz w:val="18"/>
        </w:rPr>
        <w:t>https://pubmed.ncbi.nlm.nih.gov/42626792/</w:t>
      </w:r>
    </w:p>
    <w:p>
      <w:pPr>
        <w:pStyle w:val="Heading2"/>
      </w:pPr>
      <w:r>
        <w:t>Nosokomiale Infektionen nach Gastrointestinal-Krebsoperation: Neoadjuvante Radiotherapie als Risikofaktor</w:t>
      </w:r>
    </w:p>
    <w:p>
      <w:r>
        <w:rPr>
          <w:i/>
          <w:color w:val="666666"/>
          <w:sz w:val="18"/>
        </w:rPr>
        <w:t>Fieraru IM et al.  ·  Front Public Health  ·  05.08.2026  ·  PMID 42620635</w:t>
      </w:r>
    </w:p>
    <w:p>
      <w:r>
        <w:t>Prospektive Beobachtungsstudie in rumänischem Zentrum (211 Patienten, Mai 2023–Juli 2024) an Magen- und Kolonkarzinom-Operationen: 30-Tage-Infektionen dokumentiert, Risikofaktoren analysiert, Antibiotikaresistenzprofil beschrieben.</w:t>
      </w:r>
    </w:p>
    <w:p>
      <w:r>
        <w:rPr>
          <w:b/>
        </w:rPr>
        <w:t xml:space="preserve">Ergebnis: </w:t>
      </w:r>
      <w:r>
        <w:t>15,6% entwickelten ≥1 nosokomiale Infektion (39 Episoden). Chirurgische Wundinfektionen dominant nach unterem GI-Trakt (~46%), Geräte-/Atemwegsinfektionen nach oberem Trakt (~38%). Neoadjuvante Radiotherapie unabhängiger Risikofaktor bei Kolonkarzinom (adj. OR 3,25; KI 1,15–9,19; p=0,026). Von 27 kulturpositiven Isolaten 44,4% multiresistent, einschließlich Carbapenemase-Produzenten; 36,4% Infektionen ohne Kulturdokumentation.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Osteuropa, aber Infektionserkennung und Dokumentationslücken sind universell relevant</w:t>
      </w:r>
    </w:p>
    <w:p>
      <w:r>
        <w:rPr>
          <w:color w:val="5A7D3A"/>
          <w:sz w:val="18"/>
        </w:rPr>
        <w:t>https://pubmed.ncbi.nlm.nih.gov/42620635/</w:t>
      </w:r>
    </w:p>
    <w:p>
      <w:pPr>
        <w:pStyle w:val="Heading2"/>
      </w:pPr>
      <w:r>
        <w:t>Pediatrisches Trigger-Tool für Deutschsprachige Kinder identifiziert Schäden reliabel</w:t>
      </w:r>
    </w:p>
    <w:p>
      <w:r>
        <w:rPr>
          <w:i/>
          <w:color w:val="666666"/>
          <w:sz w:val="18"/>
        </w:rPr>
        <w:t>Peters A et al.  ·  Eur J Pediatr  ·  17.08.2026  ·  PMID 42608613</w:t>
      </w:r>
    </w:p>
    <w:p>
      <w:r>
        <w:t>Methodische Studie in deutscher Kinderkardiologie (200 stationäre Patienten) entwickelt und validiert das Paediatric Trigger Tool German (PAED-TT-GER) zur retrospektiven Erkennung unerwünschter Ereignisse in Kinderkrankenhäusern.</w:t>
      </w:r>
    </w:p>
    <w:p>
      <w:r>
        <w:rPr>
          <w:b/>
        </w:rPr>
        <w:t xml:space="preserve">Ergebnis: </w:t>
      </w:r>
      <w:r>
        <w:t>57 Trigger ausgewählt (54 Normalstation + 3 PICU). Interrater-Reliabilität gut (ICC 0,794; KI 0,557–0,906). In 200 Patienten 472 Trigger identifiziert (Mittel 2,36/Patient), 45 unerwünschte Ereignisse in 42/200 Patienten (21%) bestätigt. NCC-MERP-Klassifikation: 24 Ereignisse temporärer Schaden mit Intervention (E), 19 verlängerte Hospitalisierung (F), 2 permanenter Schaden (G); 7 (15,6%) präventabel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Kinderkardiologie-Zentrum, unmittelbar auf deutsches System übertragbar</w:t>
      </w:r>
    </w:p>
    <w:p>
      <w:r>
        <w:rPr>
          <w:color w:val="5A7D3A"/>
          <w:sz w:val="18"/>
        </w:rPr>
        <w:t>https://pubmed.ncbi.nlm.nih.gov/42608613/</w:t>
      </w:r>
    </w:p>
    <w:p>
      <w:pPr>
        <w:pStyle w:val="Heading2"/>
      </w:pPr>
      <w:r>
        <w:t>Hand-Hygiene-Champion-Programm erhöht Compliance auf Intensivstationen signifikant</w:t>
      </w:r>
    </w:p>
    <w:p>
      <w:r>
        <w:rPr>
          <w:i/>
          <w:color w:val="666666"/>
          <w:sz w:val="18"/>
        </w:rPr>
        <w:t>Batalla MGA et al.  ·  Br J Nurs  ·  06.08.2026  ·  PMID 42555589</w:t>
      </w:r>
    </w:p>
    <w:p>
      <w:r>
        <w:t>Qualitätsverbesserungsprojekt in zwei britischen Universitätsklinika (Februar 2025–Februar 2026) implementiert Hand-Hygiene-Champion-Rolle und misst deren Effekt auf Händehygiene-Compliance in der Intensivmedizin mit Plan-Do-Study-Act-Zyklus.</w:t>
      </w:r>
    </w:p>
    <w:p>
      <w:r>
        <w:rPr>
          <w:b/>
        </w:rPr>
        <w:t xml:space="preserve">Ergebnis: </w:t>
      </w:r>
      <w:r>
        <w:t>Händehygiene-Compliance signifikant höher in Interventionsgruppe mit Champions als in Kontrollgruppe. Compliance stieg über Zeit signifikant post-Implementierung der Hand-Hygiene-Champions an. Programm zeigt Praktikabilität zur Verbesserung Händehygiene-Einhaltung in ICU.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Vereinigtes Königreich, aber aktive Surveillance mit Peer-Coaching ist international übertragbar</w:t>
      </w:r>
    </w:p>
    <w:p>
      <w:r>
        <w:rPr>
          <w:color w:val="5A7D3A"/>
          <w:sz w:val="18"/>
        </w:rPr>
        <w:t>https://pubmed.ncbi.nlm.nih.gov/42555589/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