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Patientensicherheit</w:t>
      </w:r>
    </w:p>
    <w:p>
      <w:r>
        <w:rPr>
          <w:i/>
          <w:color w:val="666666"/>
          <w:sz w:val="18"/>
        </w:rPr>
        <w:t>Stand: 19.10.2026  |  6 Studien  |  safety.m-vf.de</w:t>
      </w:r>
    </w:p>
    <w:p>
      <w:pPr>
        <w:pStyle w:val="Heading1"/>
      </w:pPr>
      <w:r>
        <w:t>Aufgenommen am 19.10.2026</w:t>
      </w:r>
    </w:p>
    <w:p>
      <w:pPr>
        <w:pStyle w:val="Heading2"/>
      </w:pPr>
      <w:r>
        <w:t>Invasive Verfahren erhöhen Mortalität bei älteren Patienten mit Blutbahninfektionen</w:t>
      </w:r>
    </w:p>
    <w:p>
      <w:r>
        <w:rPr>
          <w:i/>
          <w:color w:val="666666"/>
          <w:sz w:val="18"/>
        </w:rPr>
        <w:t>Yu Z et al.  ·  Clin Interv Aging  ·  12.10.2026  ·  PMID 42892862</w:t>
      </w:r>
    </w:p>
    <w:p>
      <w:r>
        <w:t>Retrospektive Kohortenstudie an 527 älteren Patienten (≥65 Jahre) mit Blutbahninfektionen in einer geriatrischen Klinik in Peking zur Identifikation von Mortalitätsprädiktoren.</w:t>
      </w:r>
    </w:p>
    <w:p>
      <w:r>
        <w:rPr>
          <w:b/>
        </w:rPr>
        <w:t xml:space="preserve">Ergebnis: </w:t>
      </w:r>
      <w:r>
        <w:t>Prolongierte mechanische Beatmung war der stärkste Mortalitätsfaktor (1–30 Tage: OR 12,70, 95%-KI 5,86–29,00; 31–90 Tage: OR 3,21, 95%-KI 1,53–6,89). Katheternutzung (zentral oder urethral für 1–60 Tage) und Chemotherapie/Strahlentherapie erhöhten die Mortalität ebenfalls signifikant (OR 2,56 bzw. 2,28 bzw. 3,25). Die Thrombozytenzahl war der beste prognostische Marker (AUC 0,79).</w:t>
      </w:r>
    </w:p>
    <w:p>
      <w:r>
        <w:rPr>
          <w:b/>
          <w:sz w:val="19"/>
        </w:rPr>
        <w:t xml:space="preserve">Übertragbarkeit: </w:t>
      </w:r>
      <w:r>
        <w:rPr>
          <w:sz w:val="19"/>
        </w:rPr>
        <w:t>China – Settings und Patienten unterscheiden sich von Deutschland, Befund zu invasiven Maßnahmen aber Versorgungsrelevanz</w:t>
      </w:r>
    </w:p>
    <w:p>
      <w:r>
        <w:rPr>
          <w:color w:val="5A7D3A"/>
          <w:sz w:val="18"/>
        </w:rPr>
        <w:t>https://pubmed.ncbi.nlm.nih.gov/42892862/</w:t>
      </w:r>
    </w:p>
    <w:p>
      <w:pPr>
        <w:pStyle w:val="Heading2"/>
      </w:pPr>
      <w:r>
        <w:t>Demenz-Nebenwirkungen: 33.772 FDA-Meldungen deuten auf Immunsuppressiva, Antipsychotika und Zytostatika</w:t>
      </w:r>
    </w:p>
    <w:p>
      <w:r>
        <w:rPr>
          <w:i/>
          <w:color w:val="666666"/>
          <w:sz w:val="18"/>
        </w:rPr>
        <w:t>Tao T et al.  ·  Medicine (Baltimore)  ·  16.10.2026  ·  PMID 42888596</w:t>
      </w:r>
    </w:p>
    <w:p>
      <w:r>
        <w:t>Pharmakovigilanz-Analyse von Demenz-assoziierten Nebenwirkungsberichten aus der FDA Adverse Event Reporting System (FAERS)-Datenbank von Q1 2004 bis Q1 2024 mit Disproportionalitätsanalyse.</w:t>
      </w:r>
    </w:p>
    <w:p>
      <w:r>
        <w:rPr>
          <w:b/>
        </w:rPr>
        <w:t xml:space="preserve">Ergebnis: </w:t>
      </w:r>
      <w:r>
        <w:t>33.772 Berichte zu 1.103 Verdachtsdrogen wurden identifiziert. Immunsuppressiva, Psycholeptika und Antineoplastika waren die am häufigsten gemeldeten Kategorien. Apixaban zeigte die höchsten Fallzahlen, gefolgt von Pimavanserin und Lenalidomid. Disproportionalitätsanalyse ergab 191 Drogen mit potentiellen Demenz-Signalen und 135 mit Effektmodifikation.</w:t>
      </w:r>
    </w:p>
    <w:p>
      <w:r>
        <w:rPr>
          <w:b/>
          <w:sz w:val="19"/>
        </w:rPr>
        <w:t xml:space="preserve">Übertragbarkeit: </w:t>
      </w:r>
      <w:r>
        <w:rPr>
          <w:sz w:val="19"/>
        </w:rPr>
        <w:t>USA FAERS-Datenbank – Signale müssen in europäischen Registern validiert werden, Meldequoten nicht direkt vergleichbar</w:t>
      </w:r>
    </w:p>
    <w:p>
      <w:r>
        <w:rPr>
          <w:color w:val="5A7D3A"/>
          <w:sz w:val="18"/>
        </w:rPr>
        <w:t>https://pubmed.ncbi.nlm.nih.gov/42888596/</w:t>
      </w:r>
    </w:p>
    <w:p>
      <w:pPr>
        <w:pStyle w:val="Heading2"/>
      </w:pPr>
      <w:r>
        <w:t>Medikamentenverschwendung auf Intensivstationen: Kategorien, aber keine Interventionsergebnisse</w:t>
      </w:r>
    </w:p>
    <w:p>
      <w:r>
        <w:rPr>
          <w:i/>
          <w:color w:val="666666"/>
          <w:sz w:val="18"/>
        </w:rPr>
        <w:t>Liang L et al.  ·  Nurs Crit Care  ·  Nov. 2026  ·  PMID 42885869</w:t>
      </w:r>
    </w:p>
    <w:p>
      <w:r>
        <w:t>Gemischte systematische Übersicht zu Erfassung, Mechanismen und Prävention von intravenöser Medikamentenverschwendung auf Intensivstationen in 25 Berichten aus 21 unabhängigen Studien.</w:t>
      </w:r>
    </w:p>
    <w:p>
      <w:r>
        <w:rPr>
          <w:b/>
        </w:rPr>
        <w:t xml:space="preserve">Ergebnis: </w:t>
      </w:r>
      <w:r>
        <w:t>Verschwendung gliederte sich in fünf Kategorien: ungenutzte Präparate, Verlust nach Verordnung oder Ereignis, Restmengen in Behältern, Rückstände in Systemen und Materialfluss-Verluste. Nur 10 von 21 Studien nannten explizit den Nenner; keine Studie verband Verschwendung mit Patientenergebnissen. Interventionsevidenz war unkontrolliert oder modelliert.</w:t>
      </w:r>
    </w:p>
    <w:p>
      <w:r>
        <w:rPr>
          <w:b/>
          <w:sz w:val="19"/>
        </w:rPr>
        <w:t xml:space="preserve">Übertragbarkeit: </w:t>
      </w:r>
      <w:r>
        <w:rPr>
          <w:sz w:val="19"/>
        </w:rPr>
        <w:t>UK und Mehrländer – Dokumentationsstandards ähnlich Deutschland, Problem versorgungsrelevant</w:t>
      </w:r>
    </w:p>
    <w:p>
      <w:r>
        <w:rPr>
          <w:color w:val="5A7D3A"/>
          <w:sz w:val="18"/>
        </w:rPr>
        <w:t>https://pubmed.ncbi.nlm.nih.gov/42885869/</w:t>
      </w:r>
    </w:p>
    <w:p>
      <w:pPr>
        <w:pStyle w:val="Heading2"/>
      </w:pPr>
      <w:r>
        <w:t>Blutglukose kontrolliert Armfunktion nach traumatischer Infektion – frühe Reha hilft teilweise</w:t>
      </w:r>
    </w:p>
    <w:p>
      <w:r>
        <w:rPr>
          <w:i/>
          <w:color w:val="666666"/>
          <w:sz w:val="18"/>
        </w:rPr>
        <w:t>Chen S et al.  ·  J Plast Surg Hand Surg  ·  16.10.2026  ·  PMID 42885545</w:t>
      </w:r>
    </w:p>
    <w:p>
      <w:r>
        <w:t>Retrospektive Kohortenstudie mit 100 Patienten mit Fraktur-assoziierten Infektionen (FRI) nach Oberlimben-Trauma zur Untersuchung der Assoziation zwischen präoperativem HbA1c und Armfunktion (DASH-Score) nach 6 Monaten sowie der vermittelnden Rolle der Reha-Initiation.</w:t>
      </w:r>
    </w:p>
    <w:p>
      <w:r>
        <w:rPr>
          <w:b/>
        </w:rPr>
        <w:t xml:space="preserve">Ergebnis: </w:t>
      </w:r>
      <w:r>
        <w:t>HbA1c war signifikant positiv mit DASH-Score assoziiert (β=6,90, 95%-KI 3,91–9,89, p&lt;0,001). Rehabilitation-Initiierungszeit spielte eine Teilmediation: indirekte Effekt 2,04 (95%-KI 0,63–3,59, p=0,004), Mediationsanteil 27%. Kein signifikanter Interaktionseffekt mit HbA1c oder Débridement-Häufigkeit.</w:t>
      </w:r>
    </w:p>
    <w:p>
      <w:r>
        <w:rPr>
          <w:b/>
          <w:sz w:val="19"/>
        </w:rPr>
        <w:t xml:space="preserve">Übertragbarkeit: </w:t>
      </w:r>
      <w:r>
        <w:rPr>
          <w:sz w:val="19"/>
        </w:rPr>
        <w:t>China – Prinzip der Glykämie-Kontrolle und frühester Reha-Initiation universell, Outcome-Messung vergleichbar</w:t>
      </w:r>
    </w:p>
    <w:p>
      <w:r>
        <w:rPr>
          <w:color w:val="5A7D3A"/>
          <w:sz w:val="18"/>
        </w:rPr>
        <w:t>https://pubmed.ncbi.nlm.nih.gov/42885545/</w:t>
      </w:r>
    </w:p>
    <w:p>
      <w:pPr>
        <w:pStyle w:val="Heading2"/>
      </w:pPr>
      <w:r>
        <w:t>Katheter-assoziierte Harnwegsinfektionen: bisherige Vorhersagemodelle unbrauchbar</w:t>
      </w:r>
    </w:p>
    <w:p>
      <w:r>
        <w:rPr>
          <w:i/>
          <w:color w:val="666666"/>
          <w:sz w:val="18"/>
        </w:rPr>
        <w:t>Mengqi Z et al.  ·  Front Public Health  ·  30.09.2026  ·  PMID 42877209</w:t>
      </w:r>
    </w:p>
    <w:p>
      <w:r>
        <w:t>Systematische Übersicht mit kritischer Bewertung von 18 publizierten Vorhersagemodellen für katheter-assoziierte Harnwegsinfektionen (CAUTI) bei erwachsenen stationären Patienten.</w:t>
      </w:r>
    </w:p>
    <w:p>
      <w:r>
        <w:rPr>
          <w:b/>
        </w:rPr>
        <w:t xml:space="preserve">Ergebnis: </w:t>
      </w:r>
      <w:r>
        <w:t>Alle 13 Berichte wurden wegen hohen Verzerrungsrisiko bewertet, hauptsächlich durch zeitliche Datenüberlappung, unzureichendes Events-pro-Variable-Verhältnis und fehlende externe Validierung. Nur zwei Modelle führten externe Validierung durch (AUC 0,758 und 0,970). Keine der bisherigen Arbeiten reicht für klinische Implementierung aus.</w:t>
      </w:r>
    </w:p>
    <w:p>
      <w:r>
        <w:rPr>
          <w:b/>
          <w:sz w:val="19"/>
        </w:rPr>
        <w:t xml:space="preserve">Übertragbarkeit: </w:t>
      </w:r>
      <w:r>
        <w:rPr>
          <w:sz w:val="19"/>
        </w:rPr>
        <w:t>Mehrländische Analyse – unterstreicht Forschungslücke auch für Deutschland</w:t>
      </w:r>
    </w:p>
    <w:p>
      <w:r>
        <w:rPr>
          <w:color w:val="5A7D3A"/>
          <w:sz w:val="18"/>
        </w:rPr>
        <w:t>https://pubmed.ncbi.nlm.nih.gov/42877209/</w:t>
      </w:r>
    </w:p>
    <w:p>
      <w:pPr>
        <w:pStyle w:val="Heading2"/>
      </w:pPr>
      <w:r>
        <w:t>Medikamenteninduzierte Gallengangsverluste: benigne Prognose trotz verzögerter Erholung</w:t>
      </w:r>
    </w:p>
    <w:p>
      <w:r>
        <w:rPr>
          <w:i/>
          <w:color w:val="666666"/>
          <w:sz w:val="18"/>
        </w:rPr>
        <w:t>Bessone F et al.  ·  Liver Int  ·  Nov. 2026  ·  PMID 42860753</w:t>
      </w:r>
    </w:p>
    <w:p>
      <w:r>
        <w:t>Prospektive multinationale Registerstudie (Spanien, Lateinamerika) mit Leberbiopsien bei 298 Patienten zur Charakterisierung von arzneimittelinduzierten Gallengangverlusten (Drug-Induced Ductopenia, DID) und Langzeitergebnissen.</w:t>
      </w:r>
    </w:p>
    <w:p>
      <w:r>
        <w:rPr>
          <w:b/>
        </w:rPr>
        <w:t xml:space="preserve">Ergebnis: </w:t>
      </w:r>
      <w:r>
        <w:t>10 Fälle (3,4%) erfüllten DID-Kriterien (Ausfall interlobulärer Gallengänge in &gt;50% der Portaltrakte). Alle zeigten Ikterus, 40% einen Hautausschlag (vs. 9,4% ohne DID; p=0,013). Gesamtbilirubin war signifikant höher (Median 12 mg/dL vs. 6,6 mg/dL; p=0,027). Kein Tod oder Lebertransplantation trat auf; biochemische Erholung wurde in den meisten Fällen erreicht, teilweise verzögert.</w:t>
      </w:r>
    </w:p>
    <w:p>
      <w:r>
        <w:rPr>
          <w:b/>
          <w:sz w:val="19"/>
        </w:rPr>
        <w:t xml:space="preserve">Übertragbarkeit: </w:t>
      </w:r>
      <w:r>
        <w:rPr>
          <w:sz w:val="19"/>
        </w:rPr>
        <w:t>Spanien, Lateinamerika – vergleichbare Meldesysteme, DILI-Registry-Modell informativ für Deutschland</w:t>
      </w:r>
    </w:p>
    <w:p>
      <w:r>
        <w:rPr>
          <w:color w:val="5A7D3A"/>
          <w:sz w:val="18"/>
        </w:rPr>
        <w:t>https://pubmed.ncbi.nlm.nih.gov/42860753/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Patientensicherheit</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