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19.09.2026  |  6 Studien  |  safety.m-vf.de</w:t>
      </w:r>
    </w:p>
    <w:p>
      <w:pPr>
        <w:pStyle w:val="Heading1"/>
      </w:pPr>
      <w:r>
        <w:t>Aufgenommen am 19.09.2026</w:t>
      </w:r>
    </w:p>
    <w:p>
      <w:pPr>
        <w:pStyle w:val="Heading2"/>
      </w:pPr>
      <w:r>
        <w:t>ADRe-Profil senkte Medikationsprobleme bei älteren Patienten um 82%</w:t>
      </w:r>
    </w:p>
    <w:p>
      <w:r>
        <w:rPr>
          <w:i/>
          <w:color w:val="666666"/>
          <w:sz w:val="18"/>
        </w:rPr>
        <w:t>Logan V et al.  ·  PLoS One  ·  18.09.2026  ·  PMID 42758689</w:t>
      </w:r>
    </w:p>
    <w:p>
      <w:r>
        <w:t>Cluster-randomisierte Studie zur Frage, ob ein Adverse Drug Reaction Profile bei Patienten ≥65 Jahren mit über 4 Dauermedikationen in der Hausarztpraxis unerwünschte Arzneimittelwirkungen und Polypharmzie-Probleme reduziert.</w:t>
      </w:r>
    </w:p>
    <w:p>
      <w:r>
        <w:rPr>
          <w:b/>
        </w:rPr>
        <w:t xml:space="preserve">Ergebnis: </w:t>
      </w:r>
      <w:r>
        <w:t>82% der Interventionsgruppe (22/27 Patienten) hatten mindestens ein bearbeitetes Problem vs. 35% der Kontrollgruppe (11/30), adjustierte Odds Ratio 7,48 (95%-KI 1,99–28,10). B12-Mangel und Flecainide-Demedikation wurden kritisch erkannt; weniger Schmerzberichte in der Interventionsgruppe.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Großbritannien/Wales, vergleichbare primärärztliche Dokumentation und Polypharmzie-Problematik</w:t>
      </w:r>
    </w:p>
    <w:p>
      <w:r>
        <w:rPr>
          <w:color w:val="5A7D3A"/>
          <w:sz w:val="18"/>
        </w:rPr>
        <w:t>https://pubmed.ncbi.nlm.nih.gov/42758689/</w:t>
      </w:r>
    </w:p>
    <w:p>
      <w:pPr>
        <w:pStyle w:val="Heading2"/>
      </w:pPr>
      <w:r>
        <w:t>Sieben unabhängige Risikofaktoren für Druckgeschwüre nach Hüftfrakturchirurgie</w:t>
      </w:r>
    </w:p>
    <w:p>
      <w:r>
        <w:rPr>
          <w:i/>
          <w:color w:val="666666"/>
          <w:sz w:val="18"/>
        </w:rPr>
        <w:t>Zhao Y et al.  ·  J Wound Ostomy Continence Nurs  ·  Sept. 2026  ·  PMID 42758160</w:t>
      </w:r>
    </w:p>
    <w:p>
      <w:r>
        <w:t>US-amerikanische Beobachtungsstudie mit 14.523 Hüftfrakturpatienten (2019) aus der NSQIP-Datenbank zur Identifizierung unabhängiger Risikofaktoren für nosokomiale Druckgeschwüre nach operativer Versorgung.</w:t>
      </w:r>
    </w:p>
    <w:p>
      <w:r>
        <w:rPr>
          <w:b/>
        </w:rPr>
        <w:t xml:space="preserve">Ergebnis: </w:t>
      </w:r>
      <w:r>
        <w:t>4,3% entwickelten mindestens ein Druckgeschwür (628/14.523). Unabhängige Risikofaktoren: Alter &gt;70 Jahre (OR 1,488), BMI &lt;18,5 kg/m² (OR 1,347), Gewichtsverlust &gt;10% in 6 Monaten (OR 2,775), Mobilitätshilfe präoperativ (OR 1,833), Insulinabhängigkeit (OR 1,753), BUN &gt;24 mg/dL (OR 1,634), Aufnahme-zu-OP-Intervall &gt;1 Tag (OR 1,400).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Risikofaktor-Profil und NSQIP-Methodik in deutschen Kliniken anwendbar</w:t>
      </w:r>
    </w:p>
    <w:p>
      <w:r>
        <w:rPr>
          <w:color w:val="5A7D3A"/>
          <w:sz w:val="18"/>
        </w:rPr>
        <w:t>https://pubmed.ncbi.nlm.nih.gov/42758160/</w:t>
      </w:r>
    </w:p>
    <w:p>
      <w:pPr>
        <w:pStyle w:val="Heading2"/>
      </w:pPr>
      <w:r>
        <w:t>Tuberkulose-Infektionskontroll-Plan: 70% Compliance aber massive Governance-Lücken</w:t>
      </w:r>
    </w:p>
    <w:p>
      <w:r>
        <w:rPr>
          <w:i/>
          <w:color w:val="666666"/>
          <w:sz w:val="18"/>
        </w:rPr>
        <w:t>Espinosa M et al.  ·  Biomedica  ·  20.08.2026  ·  PMID 42757801</w:t>
      </w:r>
    </w:p>
    <w:p>
      <w:r>
        <w:t>Evaluative Studie mit Mixed-Methods in Cali, Kolumbien zur Bewertung der institutionellen Kapazitäten eines seit 2016 implementierten Tuberkulose-Infektionskontroll-Plans in Gesundheitseinrichtungen mit TB-Programmen.</w:t>
      </w:r>
    </w:p>
    <w:p>
      <w:r>
        <w:rPr>
          <w:b/>
        </w:rPr>
        <w:t xml:space="preserve">Ergebnis: </w:t>
      </w:r>
      <w:r>
        <w:t>Durchschnittliches Compliance: 70,8% administrative Maßnahmen, 62,1% Umweltkon trolle, 90,5% Atemschutz. Mängel: fehlender nationaler Rahmen, hohe Personalfluktuation, unzureichende Schulung, Investitionslücken, mangelnde Überwachung arbeitsbezogener TB. Stärken: Erfassung symptomatischer Atemwegspatienten, Verfügbarkeit von Schutzausrüstung.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Kolumbien, aber Struktur-Gap-Analyse für Infektionskontroll-Programme übertragbar auf Schwellenländer</w:t>
      </w:r>
    </w:p>
    <w:p>
      <w:r>
        <w:rPr>
          <w:color w:val="5A7D3A"/>
          <w:sz w:val="18"/>
        </w:rPr>
        <w:t>https://pubmed.ncbi.nlm.nih.gov/42757801/</w:t>
      </w:r>
    </w:p>
    <w:p>
      <w:pPr>
        <w:pStyle w:val="Heading2"/>
      </w:pPr>
      <w:r>
        <w:t>Stromausfälle durch Treibstoffmangel: Kaskadierende Patientensicherheits-Ausfälle in Konflikt-Szenarios</w:t>
      </w:r>
    </w:p>
    <w:p>
      <w:r>
        <w:rPr>
          <w:i/>
          <w:color w:val="666666"/>
          <w:sz w:val="18"/>
        </w:rPr>
        <w:t>Warrier AR et al.  ·  BMJ Open Qual  ·  17.09.2026  ·  PMID 42754290</w:t>
      </w:r>
    </w:p>
    <w:p>
      <w:r>
        <w:t>Proaktive Fehlermodalitäts- und Effektanalyse (FMEA) an 455-Bett-Klinik Südindien zur Modellierung von Patientensicherheitsrisiken bei akutem Treibstoff-/Flüssiggasausfall in geopolitischem Konflikt-Szenario.</w:t>
      </w:r>
    </w:p>
    <w:p>
      <w:r>
        <w:rPr>
          <w:b/>
        </w:rPr>
        <w:t xml:space="preserve">Ergebnis: </w:t>
      </w:r>
      <w:r>
        <w:t>62 Fehlerszenarien: 5 kritisch (RPNs ≥200), 17 hoch (150–199), 34 mittel (100–149), 6 niedrig (&lt;100). Generator/Stromversorgung Mittelwert RPN 171,0 = Systemamplifikator. Wäscherei (OP/ICU-Wäsche-Sterilisation): höchstes Einzelrisiko RPN 240. Küche LPG-abhängig: durchschnittlich 163,4.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Indien, aber Kaskadenanalyse und Ausfallmuster sind für deutsche Krankenhäuser in Krisenszenarios anwendbar</w:t>
      </w:r>
    </w:p>
    <w:p>
      <w:r>
        <w:rPr>
          <w:color w:val="5A7D3A"/>
          <w:sz w:val="18"/>
        </w:rPr>
        <w:t>https://pubmed.ncbi.nlm.nih.gov/42754290/</w:t>
      </w:r>
    </w:p>
    <w:p>
      <w:pPr>
        <w:pStyle w:val="Heading2"/>
      </w:pPr>
      <w:r>
        <w:t>Mangelhaft vermitteltes Management-Support gefährdet psychologische Genesung nach Arbeitsverletzung</w:t>
      </w:r>
    </w:p>
    <w:p>
      <w:r>
        <w:rPr>
          <w:i/>
          <w:color w:val="666666"/>
          <w:sz w:val="18"/>
        </w:rPr>
        <w:t>Dawson A et al.  ·  J Safety Res  ·  26.05.2026  ·  PMID 42744463</w:t>
      </w:r>
    </w:p>
    <w:p>
      <w:r>
        <w:t>Zwei britische Querschnittsstudien mit Eisenbahnwerkstatt-Mitarbeitern (N₁=264, N₂=117), ob organisationale Sicherheitsunterstützung durch Vorgesetzte die psychische Belastung und emotionales Wohlbefinden nach beruflicher Verletzung moderiert.</w:t>
      </w:r>
    </w:p>
    <w:p>
      <w:r>
        <w:rPr>
          <w:b/>
        </w:rPr>
        <w:t xml:space="preserve">Ergebnis: </w:t>
      </w:r>
      <w:r>
        <w:t>Support von direkten Vorgesetzten und Kollegen moderierte nicht. Support des Top-Managements zeigte bei häufigeren Verletzungen kontraintuitiv: höhere wahrgenommene Unterstützung war mit niedrigerem positiven Affekt assoziiert – Effekt der Glaubwürdigkeitslücke zwischen symbolischer und gelebter Praxis.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Eisenbahn-Sicherheitskultur, aber Befund zu Vertrauensdefiziten ist systemübergreifend</w:t>
      </w:r>
    </w:p>
    <w:p>
      <w:r>
        <w:rPr>
          <w:color w:val="5A7D3A"/>
          <w:sz w:val="18"/>
        </w:rPr>
        <w:t>https://pubmed.ncbi.nlm.nih.gov/42744463/</w:t>
      </w:r>
    </w:p>
    <w:p>
      <w:pPr>
        <w:pStyle w:val="Heading2"/>
      </w:pPr>
      <w:r>
        <w:t>Verzögerte Entlassungsberichte zeigten keinen Sicherheitseffekt nach Pneumonie-Hospitalisierung</w:t>
      </w:r>
    </w:p>
    <w:p>
      <w:r>
        <w:rPr>
          <w:i/>
          <w:color w:val="666666"/>
          <w:sz w:val="18"/>
        </w:rPr>
        <w:t>Danjou A et al.  ·  Int J Qual Health Care  ·  08.07.2026  ·  PMID 42623130</w:t>
      </w:r>
    </w:p>
    <w:p>
      <w:r>
        <w:t>Französische Kohortenstudie zu 1004 Patienten nach Hospitalisierung wegen ambulant erworbener Lungenentzündung, ob das Fehlen einer am Entlasstag erstellten Entlassdokumentation die 30-Tage-Mortalität und Wiederaufnahmen erhöht.</w:t>
      </w:r>
    </w:p>
    <w:p>
      <w:r>
        <w:rPr>
          <w:b/>
        </w:rPr>
        <w:t xml:space="preserve">Ergebnis: </w:t>
      </w:r>
      <w:r>
        <w:t>Entlassdokumentation lag bei 30% am Entlasstag vor (305/1004). Nach Propensity-Score-Gewichtung: unerwünschte Ereignisse 12% vs. 14% (OR 1,12; 95%-KI 0,72–1,75), Wiederaufnahmen 9,6% vs. 10% (OR 1,09; 95%-KI 0,65–1,84), Mortalität 6,9% vs. 4,3% (OR 0,61; 95%-KI 0,31–1,21) – kein signifikanter Unterschied.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nationales Gesundheitsdatensystem, ähnliche Entlassdokumentationspflichten</w:t>
      </w:r>
    </w:p>
    <w:p>
      <w:r>
        <w:rPr>
          <w:color w:val="5A7D3A"/>
          <w:sz w:val="18"/>
        </w:rPr>
        <w:t>https://pubmed.ncbi.nlm.nih.gov/42623130/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2026-09-19T06:00:00Z</dcterms:created>
  <dcterms:modified xsi:type="dcterms:W3CDTF">2026-09-19T06:00:00Z</dcterms:modified>
  <cp:category/>
</cp:coreProperties>
</file>