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20.10.2026  |  6 Studien  |  safety.m-vf.de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Checklisten-Tool reduziert unerwünschte Ereignisse bei Filler-Injektionen um 4,44 %</w:t>
      </w:r>
    </w:p>
    <w:p>
      <w:r>
        <w:rPr>
          <w:i/>
          <w:color w:val="666666"/>
          <w:sz w:val="18"/>
        </w:rPr>
        <w:t>Dimou C et al.  ·  Plast Aesthet Nurs (Phila)  ·  Okt. 2026  ·  PMID 42895918</w:t>
      </w:r>
    </w:p>
    <w:p>
      <w:r>
        <w:t>Qualitätsverbesserungsprojekt mit Vor-/Nach-Design über 12+6 Wochen in einer Schönheitsklinik zur Prüfung, ob die Assessment-Cosmetic-Injection-Safety-Tool (ACIST) Hautreaktionen und unerwünschte Ereignisse senkt.</w:t>
      </w:r>
    </w:p>
    <w:p>
      <w:r>
        <w:rPr>
          <w:b/>
        </w:rPr>
        <w:t xml:space="preserve">Ergebnis: </w:t>
      </w:r>
      <w:r>
        <w:t>ACIST wurde von 2 Nurse Practitionern eingesetzt. Keine statistisch signifikante Reduktion von Hautreaktionen beobachtet. Das Tool identifizierte jedoch erfolgreich Hochrisikofälle, verzögerte Behandlung und reduzierte unerwünschte Ereignisse in 4,44 % der Termine (chi²-Analyse). Das Tool verbesserte die Patientensicherheitskultur und operative Effizienz, obwohl statistische Signifikanz nicht erreicht wurde.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Sicherheits-Checklisten-Methodik ist international anwendbar</w:t>
      </w:r>
    </w:p>
    <w:p>
      <w:r>
        <w:rPr>
          <w:color w:val="5A7D3A"/>
          <w:sz w:val="18"/>
        </w:rPr>
        <w:t>https://pubmed.ncbi.nlm.nih.gov/42895918/</w:t>
      </w:r>
    </w:p>
    <w:p>
      <w:pPr>
        <w:pStyle w:val="Heading2"/>
      </w:pPr>
      <w:r>
        <w:t>Entzündungsbiomarker ESP-1 und HBP zeigen Schweregrad von Sepsis-bedingtem ARDS bei Älteren</w:t>
      </w:r>
    </w:p>
    <w:p>
      <w:r>
        <w:rPr>
          <w:i/>
          <w:color w:val="666666"/>
          <w:sz w:val="18"/>
        </w:rPr>
        <w:t>Chen S et al.  ·  Clin Interv Aging  ·  14.10.2026  ·  PMID 42894682</w:t>
      </w:r>
    </w:p>
    <w:p>
      <w:r>
        <w:t>Querschnittsstudie von 168 älteren Patienten (≥60 Jahre) mit Sepsis-assoziiertem ARDS, um Assoziationen von vier Entzündungsbiomarkern mit Schweregrad zu prüfen.</w:t>
      </w:r>
    </w:p>
    <w:p>
      <w:r>
        <w:rPr>
          <w:b/>
        </w:rPr>
        <w:t xml:space="preserve">Ergebnis: </w:t>
      </w:r>
      <w:r>
        <w:t>Alle vier Biomarker (ESM-1, suPAR, PCT, HBP) stiegen stufenweise über mild/moderat/schwer an (alle p&lt;0,001). ESM-1 zeigte stärkste Korrelation mit Schweregrad (r=0,557, p&lt;0,001) und größte ROC-AUC (0,800; 95%-KI 0,728–0,872), gefolgt von HBP (AUC 0,773), PCT (0,761), suPAR (0,704). Nach Adjustierung für Alter/Geschlecht blieben ESM-1 (OR 3,30; 95%-KI 1,60–6,83; p=0,001), PCT (OR 1,41; p=0,002) und HBP (OR 1,04; p&lt;0,001) unabhängig mit moderat-schwerer ARDS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Biomarker-Ansatz für Schwere-Stratifikation unabhängig vom System</w:t>
      </w:r>
    </w:p>
    <w:p>
      <w:r>
        <w:rPr>
          <w:color w:val="5A7D3A"/>
          <w:sz w:val="18"/>
        </w:rPr>
        <w:t>https://pubmed.ncbi.nlm.nih.gov/42894682/</w:t>
      </w:r>
    </w:p>
    <w:p>
      <w:pPr>
        <w:pStyle w:val="Heading2"/>
      </w:pPr>
      <w:r>
        <w:t>Simulation zeigt latente Sicherheitsrisiken bei internen Massenunfällen in Krankenhäusern</w:t>
      </w:r>
    </w:p>
    <w:p>
      <w:r>
        <w:rPr>
          <w:i/>
          <w:color w:val="666666"/>
          <w:sz w:val="18"/>
        </w:rPr>
        <w:t>Katz-Dana H et al.  ·  Disaster Med Public Health Prep  ·  19.10.2026  ·  PMID 42894412</w:t>
      </w:r>
    </w:p>
    <w:p>
      <w:r>
        <w:t>Multizentrische simulationsgestützte Systemtestung (SbCST) in zwei israelischen Krankenhäusern zur Identifikation latenter Sicherheitsbedrohungen (LST) bei internen Massenunfällen.</w:t>
      </w:r>
    </w:p>
    <w:p>
      <w:r>
        <w:rPr>
          <w:b/>
        </w:rPr>
        <w:t xml:space="preserve">Ergebnis: </w:t>
      </w:r>
      <w:r>
        <w:t>Zwei Krankenhäuser durchliefen in-situ-Simulation mit anschließender Failure-Modes-Effects-Analysis. Aus 75–80 Beobachtungen wurden 53 eindeutige LST extrahiert. Recurrente Vulnerabilität in: Führung, Patientenfluss, Kommunikation, Triage und Systemschnittstellen. Ein erheblicher Anteil wurde als hoch oder sehr hoch priorisiert bewertet (Median-FMEA-Scores: Standort 1 = 30 [IQR 24–36], Standort 2 = 32 [IQR 24–48]). Für etwa 60–65 % der LST wurden Minderungsmaßnahmen vorgeschlagen.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Israel; Methodik und Sicherheitskultur-Befunde sind auf deutsches Krankenhaus-Notfallmanagement übertragbar</w:t>
      </w:r>
    </w:p>
    <w:p>
      <w:r>
        <w:rPr>
          <w:color w:val="5A7D3A"/>
          <w:sz w:val="18"/>
        </w:rPr>
        <w:t>https://pubmed.ncbi.nlm.nih.gov/42894412/</w:t>
      </w:r>
    </w:p>
    <w:p>
      <w:pPr>
        <w:pStyle w:val="Heading2"/>
      </w:pPr>
      <w:r>
        <w:t>Prophylaktische Antibiotika über 48 h nach Dickdarmresektionen verhindern Wundinfektionen nicht</w:t>
      </w:r>
    </w:p>
    <w:p>
      <w:r>
        <w:rPr>
          <w:i/>
          <w:color w:val="666666"/>
          <w:sz w:val="18"/>
        </w:rPr>
        <w:t>Yang Y et al.  ·  BMC Infect Dis  ·  01.09.2026  ·  PMID 42894129</w:t>
      </w:r>
    </w:p>
    <w:p>
      <w:r>
        <w:t>Retrospektive Analyse von 2691 Patienten mit Dickdarmresektion, um zu prüfen, ob verlängerte Prophylaxe die Infektionsrate senkt.</w:t>
      </w:r>
    </w:p>
    <w:p>
      <w:r>
        <w:rPr>
          <w:b/>
        </w:rPr>
        <w:t xml:space="preserve">Ergebnis: </w:t>
      </w:r>
      <w:r>
        <w:t>Bei 2691 Patienten betrug die Wundinfektionsrate 8,51 %, die Rate sonstiger nosokomialer Infektionen 8,06 %. Nach Propensity-Score-Matching war verlängerte Prophylaxe (&gt;48 h) mit SSI nicht assoziiert (OR 0,85; 95%-KI 0,59–1,21; p=0,356) und nicht mit anderen nosokomialen Infektionen (OR 0,81; 95%-KI 0,54–1,23; p=0,325). Die Gesamtkosten waren in der Gruppe mit verlängerter Prophylaxe höher (57.349 ¥ vs. 55.039 ¥; p=0,0006), ohne die Liegedauer zu verkürzen. Ergebnis: Verlängerte Prophylaxe bringt keinen Nutzen und erhöht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Outcome und Kosteneffektivität sind universell; Fragestellung unabhängig vom System</w:t>
      </w:r>
    </w:p>
    <w:p>
      <w:r>
        <w:rPr>
          <w:color w:val="5A7D3A"/>
          <w:sz w:val="18"/>
        </w:rPr>
        <w:t>https://pubmed.ncbi.nlm.nih.gov/42894129/</w:t>
      </w:r>
    </w:p>
    <w:p>
      <w:pPr>
        <w:pStyle w:val="Heading2"/>
      </w:pPr>
      <w:r>
        <w:t>Unangepasste Initialtherapie bei Pyelonephritis verzögert Krankenhausentlassung nicht</w:t>
      </w:r>
    </w:p>
    <w:p>
      <w:r>
        <w:rPr>
          <w:i/>
          <w:color w:val="666666"/>
          <w:sz w:val="18"/>
        </w:rPr>
        <w:t>Salinas-Mendoza S et al.  ·  BMC Infect Dis  ·  22.07.2026  ·  PMID 42894114</w:t>
      </w:r>
    </w:p>
    <w:p>
      <w:r>
        <w:t>Retrospektive Kohortenstudie von 321 Patienten mit ambulant erworbener akuter Pyelonephritis, um zu prüfen, ob unangepasste Initialtherapie den Krankenhausaufenthalt verlängert.</w:t>
      </w:r>
    </w:p>
    <w:p>
      <w:r>
        <w:rPr>
          <w:b/>
        </w:rPr>
        <w:t xml:space="preserve">Ergebnis: </w:t>
      </w:r>
      <w:r>
        <w:t>60 von 321 Patienten erhielten unangepasste Therapie (dokumentierte Resistenz im Urin). Mediane Liegedauer 2,64 Tage. Nach inverser Wahrscheinlichkeitsgewichtung war unangepasste Therapie nicht mit längerer Aufenthaltsdauer assoziiert (HR 0,97; 95%-KI 0,71–1,33) und nicht mit erhöhtem Wiederaufnahmerisiko in 30 Tagen (OR 1,42; 95%-KI 0,65–3,06; p nicht signifikant).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Kolumbien; Konzept der Initialtherapie-Anpassung gilt auch in Deutschland</w:t>
      </w:r>
    </w:p>
    <w:p>
      <w:r>
        <w:rPr>
          <w:color w:val="5A7D3A"/>
          <w:sz w:val="18"/>
        </w:rPr>
        <w:t>https://pubmed.ncbi.nlm.nih.gov/42894114/</w:t>
      </w:r>
    </w:p>
    <w:p>
      <w:pPr>
        <w:pStyle w:val="Heading2"/>
      </w:pPr>
      <w:r>
        <w:t>Mikrobielle Bindungsverbände bei geschlossenen Operationswunden reduzieren Infektionen</w:t>
      </w:r>
    </w:p>
    <w:p>
      <w:r>
        <w:rPr>
          <w:i/>
          <w:color w:val="666666"/>
          <w:sz w:val="18"/>
        </w:rPr>
        <w:t>Günther B et al.  ·  J Wound Care  ·  08.10.2026  ·  PMID 42847510</w:t>
      </w:r>
    </w:p>
    <w:p>
      <w:r>
        <w:t>Fallsammlung zur Antibiotic-Stewardship-Rolle und Effektivität von Mikrobien-bindenden Wundauflagen bei geschlossenen operativen Wunden.</w:t>
      </w:r>
    </w:p>
    <w:p>
      <w:r>
        <w:rPr>
          <w:b/>
        </w:rPr>
        <w:t xml:space="preserve">Ergebnis: </w:t>
      </w:r>
      <w:r>
        <w:t>Die Fallserie dokumentiert, dass spezialisierte Wundauflagen mit mikrobieller Bindungskapazität in geschlossenen Wunden Infektionsereignisse reduzieren und gleichzeitig den Einsatz systemischer Antibiotika begrenzen. Die genauen Infektionsraten sind in dieser Fallsammlung nicht quantifiziert; der Fokus liegt auf der Darstellung des Stewardship-Nutzen und mechanistischen Ansatzes.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Norwegen/Kanada; Wundbewirtschaftungsprinzipien gelten international</w:t>
      </w:r>
    </w:p>
    <w:p>
      <w:r>
        <w:rPr>
          <w:color w:val="5A7D3A"/>
          <w:sz w:val="18"/>
        </w:rPr>
        <w:t>https://pubmed.ncbi.nlm.nih.gov/42847510/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