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Patientensicherheit</w:t>
      </w:r>
    </w:p>
    <w:p>
      <w:r>
        <w:rPr>
          <w:i/>
          <w:color w:val="666666"/>
          <w:sz w:val="18"/>
        </w:rPr>
        <w:t>Stand: 20.10.2026  |  342 Studien  |  safety.m-vf.de</w:t>
      </w:r>
    </w:p>
    <w:p>
      <w:pPr>
        <w:pStyle w:val="Heading1"/>
      </w:pPr>
      <w:r>
        <w:t>Aufgenommen am 20.10.2026</w:t>
      </w:r>
    </w:p>
    <w:p>
      <w:pPr>
        <w:pStyle w:val="Heading2"/>
      </w:pPr>
      <w:r>
        <w:t>Checklisten-Tool reduziert unerwünschte Ereignisse bei Filler-Injektionen um 4,44 %</w:t>
      </w:r>
    </w:p>
    <w:p>
      <w:r>
        <w:rPr>
          <w:i/>
          <w:color w:val="666666"/>
          <w:sz w:val="18"/>
        </w:rPr>
        <w:t>Dimou C et al.  ·  Plast Aesthet Nurs (Phila)  ·  Okt. 2026  ·  PMID 42895918</w:t>
      </w:r>
    </w:p>
    <w:p>
      <w:r>
        <w:t>Qualitätsverbesserungsprojekt mit Vor-/Nach-Design über 12+6 Wochen in einer Schönheitsklinik zur Prüfung, ob die Assessment-Cosmetic-Injection-Safety-Tool (ACIST) Hautreaktionen und unerwünschte Ereignisse senkt.</w:t>
      </w:r>
    </w:p>
    <w:p>
      <w:r>
        <w:rPr>
          <w:b/>
        </w:rPr>
        <w:t xml:space="preserve">Ergebnis: </w:t>
      </w:r>
      <w:r>
        <w:t>ACIST wurde von 2 Nurse Practitionern eingesetzt. Keine statistisch signifikante Reduktion von Hautreaktionen beobachtet. Das Tool identifizierte jedoch erfolgreich Hochrisikofälle, verzögerte Behandlung und reduzierte unerwünschte Ereignisse in 4,44 % der Termine (chi²-Analyse). Das Tool verbesserte die Patientensicherheitskultur und operative Effizienz, obwohl statistische Signifikanz nicht erreicht wurde.</w:t>
      </w:r>
    </w:p>
    <w:p>
      <w:r>
        <w:rPr>
          <w:b/>
          <w:sz w:val="19"/>
        </w:rPr>
        <w:t xml:space="preserve">Übertragbarkeit: </w:t>
      </w:r>
      <w:r>
        <w:rPr>
          <w:sz w:val="19"/>
        </w:rPr>
        <w:t>USA; Sicherheits-Checklisten-Methodik ist international anwendbar</w:t>
      </w:r>
    </w:p>
    <w:p>
      <w:r>
        <w:rPr>
          <w:color w:val="5A7D3A"/>
          <w:sz w:val="18"/>
        </w:rPr>
        <w:t>https://pubmed.ncbi.nlm.nih.gov/42895918/</w:t>
      </w:r>
    </w:p>
    <w:p>
      <w:pPr>
        <w:pStyle w:val="Heading2"/>
      </w:pPr>
      <w:r>
        <w:t>Entzündungsbiomarker ESP-1 und HBP zeigen Schweregrad von Sepsis-bedingtem ARDS bei Älteren</w:t>
      </w:r>
    </w:p>
    <w:p>
      <w:r>
        <w:rPr>
          <w:i/>
          <w:color w:val="666666"/>
          <w:sz w:val="18"/>
        </w:rPr>
        <w:t>Chen S et al.  ·  Clin Interv Aging  ·  14.10.2026  ·  PMID 42894682</w:t>
      </w:r>
    </w:p>
    <w:p>
      <w:r>
        <w:t>Querschnittsstudie von 168 älteren Patienten (≥60 Jahre) mit Sepsis-assoziiertem ARDS, um Assoziationen von vier Entzündungsbiomarkern mit Schweregrad zu prüfen.</w:t>
      </w:r>
    </w:p>
    <w:p>
      <w:r>
        <w:rPr>
          <w:b/>
        </w:rPr>
        <w:t xml:space="preserve">Ergebnis: </w:t>
      </w:r>
      <w:r>
        <w:t>Alle vier Biomarker (ESM-1, suPAR, PCT, HBP) stiegen stufenweise über mild/moderat/schwer an (alle p&lt;0,001). ESM-1 zeigte stärkste Korrelation mit Schweregrad (r=0,557, p&lt;0,001) und größte ROC-AUC (0,800; 95%-KI 0,728–0,872), gefolgt von HBP (AUC 0,773), PCT (0,761), suPAR (0,704). Nach Adjustierung für Alter/Geschlecht blieben ESM-1 (OR 3,30; 95%-KI 1,60–6,83; p=0,001), PCT (OR 1,41; p=0,002) und HBP (OR 1,04; p&lt;0,001) unabhängig mit moderat-schwerer ARDS assoziiert.</w:t>
      </w:r>
    </w:p>
    <w:p>
      <w:r>
        <w:rPr>
          <w:b/>
          <w:sz w:val="19"/>
        </w:rPr>
        <w:t xml:space="preserve">Übertragbarkeit: </w:t>
      </w:r>
      <w:r>
        <w:rPr>
          <w:sz w:val="19"/>
        </w:rPr>
        <w:t>China; Biomarker-Ansatz für Schwere-Stratifikation unabhängig vom System</w:t>
      </w:r>
    </w:p>
    <w:p>
      <w:r>
        <w:rPr>
          <w:color w:val="5A7D3A"/>
          <w:sz w:val="18"/>
        </w:rPr>
        <w:t>https://pubmed.ncbi.nlm.nih.gov/42894682/</w:t>
      </w:r>
    </w:p>
    <w:p>
      <w:pPr>
        <w:pStyle w:val="Heading2"/>
      </w:pPr>
      <w:r>
        <w:t>Simulation zeigt latente Sicherheitsrisiken bei internen Massenunfällen in Krankenhäusern</w:t>
      </w:r>
    </w:p>
    <w:p>
      <w:r>
        <w:rPr>
          <w:i/>
          <w:color w:val="666666"/>
          <w:sz w:val="18"/>
        </w:rPr>
        <w:t>Katz-Dana H et al.  ·  Disaster Med Public Health Prep  ·  19.10.2026  ·  PMID 42894412</w:t>
      </w:r>
    </w:p>
    <w:p>
      <w:r>
        <w:t>Multizentrische simulationsgestützte Systemtestung (SbCST) in zwei israelischen Krankenhäusern zur Identifikation latenter Sicherheitsbedrohungen (LST) bei internen Massenunfällen.</w:t>
      </w:r>
    </w:p>
    <w:p>
      <w:r>
        <w:rPr>
          <w:b/>
        </w:rPr>
        <w:t xml:space="preserve">Ergebnis: </w:t>
      </w:r>
      <w:r>
        <w:t>Zwei Krankenhäuser durchliefen in-situ-Simulation mit anschließender Failure-Modes-Effects-Analysis. Aus 75–80 Beobachtungen wurden 53 eindeutige LST extrahiert. Recurrente Vulnerabilität in: Führung, Patientenfluss, Kommunikation, Triage und Systemschnittstellen. Ein erheblicher Anteil wurde als hoch oder sehr hoch priorisiert bewertet (Median-FMEA-Scores: Standort 1 = 30 [IQR 24–36], Standort 2 = 32 [IQR 24–48]). Für etwa 60–65 % der LST wurden Minderungsmaßnahmen vorgeschlagen.</w:t>
      </w:r>
    </w:p>
    <w:p>
      <w:r>
        <w:rPr>
          <w:b/>
          <w:sz w:val="19"/>
        </w:rPr>
        <w:t xml:space="preserve">Übertragbarkeit: </w:t>
      </w:r>
      <w:r>
        <w:rPr>
          <w:sz w:val="19"/>
        </w:rPr>
        <w:t>Israel; Methodik und Sicherheitskultur-Befunde sind auf deutsches Krankenhaus-Notfallmanagement übertragbar</w:t>
      </w:r>
    </w:p>
    <w:p>
      <w:r>
        <w:rPr>
          <w:color w:val="5A7D3A"/>
          <w:sz w:val="18"/>
        </w:rPr>
        <w:t>https://pubmed.ncbi.nlm.nih.gov/42894412/</w:t>
      </w:r>
    </w:p>
    <w:p>
      <w:pPr>
        <w:pStyle w:val="Heading2"/>
      </w:pPr>
      <w:r>
        <w:t>Prophylaktische Antibiotika über 48 h nach Dickdarmresektionen verhindern Wundinfektionen nicht</w:t>
      </w:r>
    </w:p>
    <w:p>
      <w:r>
        <w:rPr>
          <w:i/>
          <w:color w:val="666666"/>
          <w:sz w:val="18"/>
        </w:rPr>
        <w:t>Yang Y et al.  ·  BMC Infect Dis  ·  01.09.2026  ·  PMID 42894129</w:t>
      </w:r>
    </w:p>
    <w:p>
      <w:r>
        <w:t>Retrospektive Analyse von 2691 Patienten mit Dickdarmresektion, um zu prüfen, ob verlängerte Prophylaxe die Infektionsrate senkt.</w:t>
      </w:r>
    </w:p>
    <w:p>
      <w:r>
        <w:rPr>
          <w:b/>
        </w:rPr>
        <w:t xml:space="preserve">Ergebnis: </w:t>
      </w:r>
      <w:r>
        <w:t>Bei 2691 Patienten betrug die Wundinfektionsrate 8,51 %, die Rate sonstiger nosokomialer Infektionen 8,06 %. Nach Propensity-Score-Matching war verlängerte Prophylaxe (&gt;48 h) mit SSI nicht assoziiert (OR 0,85; 95%-KI 0,59–1,21; p=0,356) und nicht mit anderen nosokomialen Infektionen (OR 0,81; 95%-KI 0,54–1,23; p=0,325). Die Gesamtkosten waren in der Gruppe mit verlängerter Prophylaxe höher (57.349 ¥ vs. 55.039 ¥; p=0,0006), ohne die Liegedauer zu verkürzen. Ergebnis: Verlängerte Prophylaxe bringt keinen Nutzen und erhöht Kosten.</w:t>
      </w:r>
    </w:p>
    <w:p>
      <w:r>
        <w:rPr>
          <w:b/>
          <w:sz w:val="19"/>
        </w:rPr>
        <w:t xml:space="preserve">Übertragbarkeit: </w:t>
      </w:r>
      <w:r>
        <w:rPr>
          <w:sz w:val="19"/>
        </w:rPr>
        <w:t>China, aber Outcome und Kosteneffektivität sind universell; Fragestellung unabhängig vom System</w:t>
      </w:r>
    </w:p>
    <w:p>
      <w:r>
        <w:rPr>
          <w:color w:val="5A7D3A"/>
          <w:sz w:val="18"/>
        </w:rPr>
        <w:t>https://pubmed.ncbi.nlm.nih.gov/42894129/</w:t>
      </w:r>
    </w:p>
    <w:p>
      <w:pPr>
        <w:pStyle w:val="Heading2"/>
      </w:pPr>
      <w:r>
        <w:t>Unangepasste Initialtherapie bei Pyelonephritis verzögert Krankenhausentlassung nicht</w:t>
      </w:r>
    </w:p>
    <w:p>
      <w:r>
        <w:rPr>
          <w:i/>
          <w:color w:val="666666"/>
          <w:sz w:val="18"/>
        </w:rPr>
        <w:t>Salinas-Mendoza S et al.  ·  BMC Infect Dis  ·  22.07.2026  ·  PMID 42894114</w:t>
      </w:r>
    </w:p>
    <w:p>
      <w:r>
        <w:t>Retrospektive Kohortenstudie von 321 Patienten mit ambulant erworbener akuter Pyelonephritis, um zu prüfen, ob unangepasste Initialtherapie den Krankenhausaufenthalt verlängert.</w:t>
      </w:r>
    </w:p>
    <w:p>
      <w:r>
        <w:rPr>
          <w:b/>
        </w:rPr>
        <w:t xml:space="preserve">Ergebnis: </w:t>
      </w:r>
      <w:r>
        <w:t>60 von 321 Patienten erhielten unangepasste Therapie (dokumentierte Resistenz im Urin). Mediane Liegedauer 2,64 Tage. Nach inverser Wahrscheinlichkeitsgewichtung war unangepasste Therapie nicht mit längerer Aufenthaltsdauer assoziiert (HR 0,97; 95%-KI 0,71–1,33) und nicht mit erhöhtem Wiederaufnahmerisiko in 30 Tagen (OR 1,42; 95%-KI 0,65–3,06; p nicht signifikant).</w:t>
      </w:r>
    </w:p>
    <w:p>
      <w:r>
        <w:rPr>
          <w:b/>
          <w:sz w:val="19"/>
        </w:rPr>
        <w:t xml:space="preserve">Übertragbarkeit: </w:t>
      </w:r>
      <w:r>
        <w:rPr>
          <w:sz w:val="19"/>
        </w:rPr>
        <w:t>Kolumbien; Konzept der Initialtherapie-Anpassung gilt auch in Deutschland</w:t>
      </w:r>
    </w:p>
    <w:p>
      <w:r>
        <w:rPr>
          <w:color w:val="5A7D3A"/>
          <w:sz w:val="18"/>
        </w:rPr>
        <w:t>https://pubmed.ncbi.nlm.nih.gov/42894114/</w:t>
      </w:r>
    </w:p>
    <w:p>
      <w:pPr>
        <w:pStyle w:val="Heading2"/>
      </w:pPr>
      <w:r>
        <w:t>Mikrobielle Bindungsverbände bei geschlossenen Operationswunden reduzieren Infektionen</w:t>
      </w:r>
    </w:p>
    <w:p>
      <w:r>
        <w:rPr>
          <w:i/>
          <w:color w:val="666666"/>
          <w:sz w:val="18"/>
        </w:rPr>
        <w:t>Günther B et al.  ·  J Wound Care  ·  08.10.2026  ·  PMID 42847510</w:t>
      </w:r>
    </w:p>
    <w:p>
      <w:r>
        <w:t>Fallsammlung zur Antibiotic-Stewardship-Rolle und Effektivität von Mikrobien-bindenden Wundauflagen bei geschlossenen operativen Wunden.</w:t>
      </w:r>
    </w:p>
    <w:p>
      <w:r>
        <w:rPr>
          <w:b/>
        </w:rPr>
        <w:t xml:space="preserve">Ergebnis: </w:t>
      </w:r>
      <w:r>
        <w:t>Die Fallserie dokumentiert, dass spezialisierte Wundauflagen mit mikrobieller Bindungskapazität in geschlossenen Wunden Infektionsereignisse reduzieren und gleichzeitig den Einsatz systemischer Antibiotika begrenzen. Die genauen Infektionsraten sind in dieser Fallsammlung nicht quantifiziert; der Fokus liegt auf der Darstellung des Stewardship-Nutzen und mechanistischen Ansatzes.</w:t>
      </w:r>
    </w:p>
    <w:p>
      <w:r>
        <w:rPr>
          <w:b/>
          <w:sz w:val="19"/>
        </w:rPr>
        <w:t xml:space="preserve">Übertragbarkeit: </w:t>
      </w:r>
      <w:r>
        <w:rPr>
          <w:sz w:val="19"/>
        </w:rPr>
        <w:t>Norwegen/Kanada; Wundbewirtschaftungsprinzipien gelten international</w:t>
      </w:r>
    </w:p>
    <w:p>
      <w:r>
        <w:rPr>
          <w:color w:val="5A7D3A"/>
          <w:sz w:val="18"/>
        </w:rPr>
        <w:t>https://pubmed.ncbi.nlm.nih.gov/42847510/</w:t>
      </w:r>
    </w:p>
    <w:p>
      <w:pPr>
        <w:pStyle w:val="Heading1"/>
      </w:pPr>
      <w:r>
        <w:t>Aufgenommen am 19.10.2026</w:t>
      </w:r>
    </w:p>
    <w:p>
      <w:pPr>
        <w:pStyle w:val="Heading2"/>
      </w:pPr>
      <w:r>
        <w:t>Invasive Verfahren erhöhen Mortalität bei älteren Patienten mit Blutbahninfektionen</w:t>
      </w:r>
    </w:p>
    <w:p>
      <w:r>
        <w:rPr>
          <w:i/>
          <w:color w:val="666666"/>
          <w:sz w:val="18"/>
        </w:rPr>
        <w:t>Yu Z et al.  ·  Clin Interv Aging  ·  12.10.2026  ·  PMID 42892862</w:t>
      </w:r>
    </w:p>
    <w:p>
      <w:r>
        <w:t>Retrospektive Kohortenstudie an 527 älteren Patienten (≥65 Jahre) mit Blutbahninfektionen in einer geriatrischen Klinik in Peking zur Identifikation von Mortalitätsprädiktoren.</w:t>
      </w:r>
    </w:p>
    <w:p>
      <w:r>
        <w:rPr>
          <w:b/>
        </w:rPr>
        <w:t xml:space="preserve">Ergebnis: </w:t>
      </w:r>
      <w:r>
        <w:t>Prolongierte mechanische Beatmung war der stärkste Mortalitätsfaktor (1–30 Tage: OR 12,70, 95%-KI 5,86–29,00; 31–90 Tage: OR 3,21, 95%-KI 1,53–6,89). Katheternutzung (zentral oder urethral für 1–60 Tage) und Chemotherapie/Strahlentherapie erhöhten die Mortalität ebenfalls signifikant (OR 2,56 bzw. 2,28 bzw. 3,25). Die Thrombozytenzahl war der beste prognostische Marker (AUC 0,79).</w:t>
      </w:r>
    </w:p>
    <w:p>
      <w:r>
        <w:rPr>
          <w:b/>
          <w:sz w:val="19"/>
        </w:rPr>
        <w:t xml:space="preserve">Übertragbarkeit: </w:t>
      </w:r>
      <w:r>
        <w:rPr>
          <w:sz w:val="19"/>
        </w:rPr>
        <w:t>China – Settings und Patienten unterscheiden sich von Deutschland, Befund zu invasiven Maßnahmen aber Versorgungsrelevanz</w:t>
      </w:r>
    </w:p>
    <w:p>
      <w:r>
        <w:rPr>
          <w:color w:val="5A7D3A"/>
          <w:sz w:val="18"/>
        </w:rPr>
        <w:t>https://pubmed.ncbi.nlm.nih.gov/42892862/</w:t>
      </w:r>
    </w:p>
    <w:p>
      <w:pPr>
        <w:pStyle w:val="Heading2"/>
      </w:pPr>
      <w:r>
        <w:t>Demenz-Nebenwirkungen: 33.772 FDA-Meldungen deuten auf Immunsuppressiva, Antipsychotika und Zytostatika</w:t>
      </w:r>
    </w:p>
    <w:p>
      <w:r>
        <w:rPr>
          <w:i/>
          <w:color w:val="666666"/>
          <w:sz w:val="18"/>
        </w:rPr>
        <w:t>Tao T et al.  ·  Medicine (Baltimore)  ·  16.10.2026  ·  PMID 42888596</w:t>
      </w:r>
    </w:p>
    <w:p>
      <w:r>
        <w:t>Pharmakovigilanz-Analyse von Demenz-assoziierten Nebenwirkungsberichten aus der FDA Adverse Event Reporting System (FAERS)-Datenbank von Q1 2004 bis Q1 2024 mit Disproportionalitätsanalyse.</w:t>
      </w:r>
    </w:p>
    <w:p>
      <w:r>
        <w:rPr>
          <w:b/>
        </w:rPr>
        <w:t xml:space="preserve">Ergebnis: </w:t>
      </w:r>
      <w:r>
        <w:t>33.772 Berichte zu 1.103 Verdachtsdrogen wurden identifiziert. Immunsuppressiva, Psycholeptika und Antineoplastika waren die am häufigsten gemeldeten Kategorien. Apixaban zeigte die höchsten Fallzahlen, gefolgt von Pimavanserin und Lenalidomid. Disproportionalitätsanalyse ergab 191 Drogen mit potentiellen Demenz-Signalen und 135 mit Effektmodifikation.</w:t>
      </w:r>
    </w:p>
    <w:p>
      <w:r>
        <w:rPr>
          <w:b/>
          <w:sz w:val="19"/>
        </w:rPr>
        <w:t xml:space="preserve">Übertragbarkeit: </w:t>
      </w:r>
      <w:r>
        <w:rPr>
          <w:sz w:val="19"/>
        </w:rPr>
        <w:t>USA FAERS-Datenbank – Signale müssen in europäischen Registern validiert werden, Meldequoten nicht direkt vergleichbar</w:t>
      </w:r>
    </w:p>
    <w:p>
      <w:r>
        <w:rPr>
          <w:color w:val="5A7D3A"/>
          <w:sz w:val="18"/>
        </w:rPr>
        <w:t>https://pubmed.ncbi.nlm.nih.gov/42888596/</w:t>
      </w:r>
    </w:p>
    <w:p>
      <w:pPr>
        <w:pStyle w:val="Heading2"/>
      </w:pPr>
      <w:r>
        <w:t>Medikamentenverschwendung auf Intensivstationen: Kategorien, aber keine Interventionsergebnisse</w:t>
      </w:r>
    </w:p>
    <w:p>
      <w:r>
        <w:rPr>
          <w:i/>
          <w:color w:val="666666"/>
          <w:sz w:val="18"/>
        </w:rPr>
        <w:t>Liang L et al.  ·  Nurs Crit Care  ·  Nov. 2026  ·  PMID 42885869</w:t>
      </w:r>
    </w:p>
    <w:p>
      <w:r>
        <w:t>Gemischte systematische Übersicht zu Erfassung, Mechanismen und Prävention von intravenöser Medikamentenverschwendung auf Intensivstationen in 25 Berichten aus 21 unabhängigen Studien.</w:t>
      </w:r>
    </w:p>
    <w:p>
      <w:r>
        <w:rPr>
          <w:b/>
        </w:rPr>
        <w:t xml:space="preserve">Ergebnis: </w:t>
      </w:r>
      <w:r>
        <w:t>Verschwendung gliederte sich in fünf Kategorien: ungenutzte Präparate, Verlust nach Verordnung oder Ereignis, Restmengen in Behältern, Rückstände in Systemen und Materialfluss-Verluste. Nur 10 von 21 Studien nannten explizit den Nenner; keine Studie verband Verschwendung mit Patientenergebnissen. Interventionsevidenz war unkontrolliert oder modelliert.</w:t>
      </w:r>
    </w:p>
    <w:p>
      <w:r>
        <w:rPr>
          <w:b/>
          <w:sz w:val="19"/>
        </w:rPr>
        <w:t xml:space="preserve">Übertragbarkeit: </w:t>
      </w:r>
      <w:r>
        <w:rPr>
          <w:sz w:val="19"/>
        </w:rPr>
        <w:t>UK und Mehrländer – Dokumentationsstandards ähnlich Deutschland, Problem versorgungsrelevant</w:t>
      </w:r>
    </w:p>
    <w:p>
      <w:r>
        <w:rPr>
          <w:color w:val="5A7D3A"/>
          <w:sz w:val="18"/>
        </w:rPr>
        <w:t>https://pubmed.ncbi.nlm.nih.gov/42885869/</w:t>
      </w:r>
    </w:p>
    <w:p>
      <w:pPr>
        <w:pStyle w:val="Heading2"/>
      </w:pPr>
      <w:r>
        <w:t>Blutglukose kontrolliert Armfunktion nach traumatischer Infektion – frühe Reha hilft teilweise</w:t>
      </w:r>
    </w:p>
    <w:p>
      <w:r>
        <w:rPr>
          <w:i/>
          <w:color w:val="666666"/>
          <w:sz w:val="18"/>
        </w:rPr>
        <w:t>Chen S et al.  ·  J Plast Surg Hand Surg  ·  16.10.2026  ·  PMID 42885545</w:t>
      </w:r>
    </w:p>
    <w:p>
      <w:r>
        <w:t>Retrospektive Kohortenstudie mit 100 Patienten mit Fraktur-assoziierten Infektionen (FRI) nach Oberlimben-Trauma zur Untersuchung der Assoziation zwischen präoperativem HbA1c und Armfunktion (DASH-Score) nach 6 Monaten sowie der vermittelnden Rolle der Reha-Initiation.</w:t>
      </w:r>
    </w:p>
    <w:p>
      <w:r>
        <w:rPr>
          <w:b/>
        </w:rPr>
        <w:t xml:space="preserve">Ergebnis: </w:t>
      </w:r>
      <w:r>
        <w:t>HbA1c war signifikant positiv mit DASH-Score assoziiert (β=6,90, 95%-KI 3,91–9,89, p&lt;0,001). Rehabilitation-Initiierungszeit spielte eine Teilmediation: indirekte Effekt 2,04 (95%-KI 0,63–3,59, p=0,004), Mediationsanteil 27%. Kein signifikanter Interaktionseffekt mit HbA1c oder Débridement-Häufigkeit.</w:t>
      </w:r>
    </w:p>
    <w:p>
      <w:r>
        <w:rPr>
          <w:b/>
          <w:sz w:val="19"/>
        </w:rPr>
        <w:t xml:space="preserve">Übertragbarkeit: </w:t>
      </w:r>
      <w:r>
        <w:rPr>
          <w:sz w:val="19"/>
        </w:rPr>
        <w:t>China – Prinzip der Glykämie-Kontrolle und frühester Reha-Initiation universell, Outcome-Messung vergleichbar</w:t>
      </w:r>
    </w:p>
    <w:p>
      <w:r>
        <w:rPr>
          <w:color w:val="5A7D3A"/>
          <w:sz w:val="18"/>
        </w:rPr>
        <w:t>https://pubmed.ncbi.nlm.nih.gov/42885545/</w:t>
      </w:r>
    </w:p>
    <w:p>
      <w:pPr>
        <w:pStyle w:val="Heading2"/>
      </w:pPr>
      <w:r>
        <w:t>Katheter-assoziierte Harnwegsinfektionen: bisherige Vorhersagemodelle unbrauchbar</w:t>
      </w:r>
    </w:p>
    <w:p>
      <w:r>
        <w:rPr>
          <w:i/>
          <w:color w:val="666666"/>
          <w:sz w:val="18"/>
        </w:rPr>
        <w:t>Mengqi Z et al.  ·  Front Public Health  ·  30.09.2026  ·  PMID 42877209</w:t>
      </w:r>
    </w:p>
    <w:p>
      <w:r>
        <w:t>Systematische Übersicht mit kritischer Bewertung von 18 publizierten Vorhersagemodellen für katheter-assoziierte Harnwegsinfektionen (CAUTI) bei erwachsenen stationären Patienten.</w:t>
      </w:r>
    </w:p>
    <w:p>
      <w:r>
        <w:rPr>
          <w:b/>
        </w:rPr>
        <w:t xml:space="preserve">Ergebnis: </w:t>
      </w:r>
      <w:r>
        <w:t>Alle 13 Berichte wurden wegen hohen Verzerrungsrisiko bewertet, hauptsächlich durch zeitliche Datenüberlappung, unzureichendes Events-pro-Variable-Verhältnis und fehlende externe Validierung. Nur zwei Modelle führten externe Validierung durch (AUC 0,758 und 0,970). Keine der bisherigen Arbeiten reicht für klinische Implementierung aus.</w:t>
      </w:r>
    </w:p>
    <w:p>
      <w:r>
        <w:rPr>
          <w:b/>
          <w:sz w:val="19"/>
        </w:rPr>
        <w:t xml:space="preserve">Übertragbarkeit: </w:t>
      </w:r>
      <w:r>
        <w:rPr>
          <w:sz w:val="19"/>
        </w:rPr>
        <w:t>Mehrländische Analyse – unterstreicht Forschungslücke auch für Deutschland</w:t>
      </w:r>
    </w:p>
    <w:p>
      <w:r>
        <w:rPr>
          <w:color w:val="5A7D3A"/>
          <w:sz w:val="18"/>
        </w:rPr>
        <w:t>https://pubmed.ncbi.nlm.nih.gov/42877209/</w:t>
      </w:r>
    </w:p>
    <w:p>
      <w:pPr>
        <w:pStyle w:val="Heading2"/>
      </w:pPr>
      <w:r>
        <w:t>Medikamenteninduzierte Gallengangsverluste: benigne Prognose trotz verzögerter Erholung</w:t>
      </w:r>
    </w:p>
    <w:p>
      <w:r>
        <w:rPr>
          <w:i/>
          <w:color w:val="666666"/>
          <w:sz w:val="18"/>
        </w:rPr>
        <w:t>Bessone F et al.  ·  Liver Int  ·  Nov. 2026  ·  PMID 42860753</w:t>
      </w:r>
    </w:p>
    <w:p>
      <w:r>
        <w:t>Prospektive multinationale Registerstudie (Spanien, Lateinamerika) mit Leberbiopsien bei 298 Patienten zur Charakterisierung von arzneimittelinduzierten Gallengangverlusten (Drug-Induced Ductopenia, DID) und Langzeitergebnissen.</w:t>
      </w:r>
    </w:p>
    <w:p>
      <w:r>
        <w:rPr>
          <w:b/>
        </w:rPr>
        <w:t xml:space="preserve">Ergebnis: </w:t>
      </w:r>
      <w:r>
        <w:t>10 Fälle (3,4%) erfüllten DID-Kriterien (Ausfall interlobulärer Gallengänge in &gt;50% der Portaltrakte). Alle zeigten Ikterus, 40% einen Hautausschlag (vs. 9,4% ohne DID; p=0,013). Gesamtbilirubin war signifikant höher (Median 12 mg/dL vs. 6,6 mg/dL; p=0,027). Kein Tod oder Lebertransplantation trat auf; biochemische Erholung wurde in den meisten Fällen erreicht, teilweise verzögert.</w:t>
      </w:r>
    </w:p>
    <w:p>
      <w:r>
        <w:rPr>
          <w:b/>
          <w:sz w:val="19"/>
        </w:rPr>
        <w:t xml:space="preserve">Übertragbarkeit: </w:t>
      </w:r>
      <w:r>
        <w:rPr>
          <w:sz w:val="19"/>
        </w:rPr>
        <w:t>Spanien, Lateinamerika – vergleichbare Meldesysteme, DILI-Registry-Modell informativ für Deutschland</w:t>
      </w:r>
    </w:p>
    <w:p>
      <w:r>
        <w:rPr>
          <w:color w:val="5A7D3A"/>
          <w:sz w:val="18"/>
        </w:rPr>
        <w:t>https://pubmed.ncbi.nlm.nih.gov/42860753/</w:t>
      </w:r>
    </w:p>
    <w:p>
      <w:pPr>
        <w:pStyle w:val="Heading1"/>
      </w:pPr>
      <w:r>
        <w:t>Aufgenommen am 18.10.2026</w:t>
      </w:r>
    </w:p>
    <w:p>
      <w:pPr>
        <w:pStyle w:val="Heading2"/>
      </w:pPr>
      <w:r>
        <w:t>Antibiotic-Stewardship bei Leberzirrhose: Evidence-Lücken und Handlungsbedarf</w:t>
      </w:r>
    </w:p>
    <w:p>
      <w:r>
        <w:rPr>
          <w:i/>
          <w:color w:val="666666"/>
          <w:sz w:val="18"/>
        </w:rPr>
        <w:t>Ezzafzafi S et al.  ·  United European Gastroenterol J  ·  Okt. 2026  ·  PMID 42888911</w:t>
      </w:r>
    </w:p>
    <w:p>
      <w:r>
        <w:t>Narrative Übersicht der Evidenz hinter internationalen Leitlinien-Empfehlungen zu Antibiotic-Prophylaxe und empirischer Behandlung bei Zirrhose, mit kritischer Bewertung des Validitätszustands in der Ära multiresistenter Erreger.</w:t>
      </w:r>
    </w:p>
    <w:p>
      <w:r>
        <w:rPr>
          <w:b/>
        </w:rPr>
        <w:t xml:space="preserve">Ergebnis: </w:t>
      </w:r>
      <w:r>
        <w:t>Die Autoren zeigen, dass die zugrundeliegende Evidenz begrenzt ist und älter als die aktuelle Ära multiresistenter Erreger. Primärprophylaxe sollte neu überdacht werden, Rifaximin verdient Evaluation gegen etablierte Fluorochinolon-Regime, kürzere Antibiotika-Kurse könnten Standard-Durations nicht unterlegen sein. Neue doppelblind-kontrollierte Nicht-Unterlegenheits- und Bayesianische Studien sind erforderlich.</w:t>
      </w:r>
    </w:p>
    <w:p>
      <w:r>
        <w:rPr>
          <w:b/>
          <w:sz w:val="19"/>
        </w:rPr>
        <w:t xml:space="preserve">Übertragbarkeit: </w:t>
      </w:r>
      <w:r>
        <w:rPr>
          <w:sz w:val="19"/>
        </w:rPr>
        <w:t>Niederlande/UK, europäische Versorgungsrealität, direkter Antibiotic-Stewardship-Bezug</w:t>
      </w:r>
    </w:p>
    <w:p>
      <w:r>
        <w:rPr>
          <w:color w:val="5A7D3A"/>
          <w:sz w:val="18"/>
        </w:rPr>
        <w:t>https://pubmed.ncbi.nlm.nih.gov/42888911/</w:t>
      </w:r>
    </w:p>
    <w:p>
      <w:pPr>
        <w:pStyle w:val="Heading2"/>
      </w:pPr>
      <w:r>
        <w:t>Besuchssperre auf Intensivstation senkte nosokomiale Infektionen um zwei Drittel</w:t>
      </w:r>
    </w:p>
    <w:p>
      <w:r>
        <w:rPr>
          <w:i/>
          <w:color w:val="666666"/>
          <w:sz w:val="18"/>
        </w:rPr>
        <w:t>Ersoy Karka O et al.  ·  Medicine (Baltimore)  ·  16.10.2026  ·  PMID 42888540</w:t>
      </w:r>
    </w:p>
    <w:p>
      <w:r>
        <w:t>Vergleich der Infektionsraten zwischen Vor-Pandemie-Phase mit eingeschränktem Besuch und Pandemie-Phase mit Besuchsverbot in einer nichtCOVID-Intensivstation der Türkei (März 2019 bis März 2021).</w:t>
      </w:r>
    </w:p>
    <w:p>
      <w:r>
        <w:rPr>
          <w:b/>
        </w:rPr>
        <w:t xml:space="preserve">Ergebnis: </w:t>
      </w:r>
      <w:r>
        <w:t>Die Infektionsrate war in der Besuchssperre-Gruppe (6,1 %) signifikant niedriger als in der Kontrollgruppe (22,0 %, p&lt;0,001). In der episodengestützten Analyse: 10,4 % versus 33,0 % (p&lt;0,001). Die Zeit bis zum Infektionsbeginn war in der Besuchssperre-Gruppe signifikant länger (p=0,003). Beatmungsassoziierte Pneumonie zeigte standardisiertes Infektionsverhältnis-Reduktion (p=0,02); Acinetobacter-Isolate waren deutlich weniger häufig. Procalcitonin, CRP, Leukozyten und Laktat waren in der Besuchssperre-Phase signifikant niedriger.</w:t>
      </w:r>
    </w:p>
    <w:p>
      <w:r>
        <w:rPr>
          <w:b/>
          <w:sz w:val="19"/>
        </w:rPr>
        <w:t xml:space="preserve">Übertragbarkeit: </w:t>
      </w:r>
      <w:r>
        <w:rPr>
          <w:sz w:val="19"/>
        </w:rPr>
        <w:t>Türkei, Mehrschicht-Kontrollmaßnahmen in der Pandemie, Ergebnis nicht allein dem Besuchsverbot zurechenbar</w:t>
      </w:r>
    </w:p>
    <w:p>
      <w:r>
        <w:rPr>
          <w:color w:val="5A7D3A"/>
          <w:sz w:val="18"/>
        </w:rPr>
        <w:t>https://pubmed.ncbi.nlm.nih.gov/42888540/</w:t>
      </w:r>
    </w:p>
    <w:p>
      <w:pPr>
        <w:pStyle w:val="Heading2"/>
      </w:pPr>
      <w:r>
        <w:t>Blutkultur-positive Episoden in der Neonatologie: Wie Ärzte Infektion von Kontamination unterscheiden</w:t>
      </w:r>
    </w:p>
    <w:p>
      <w:r>
        <w:rPr>
          <w:i/>
          <w:color w:val="666666"/>
          <w:sz w:val="18"/>
        </w:rPr>
        <w:t>Schnee SV et al.  ·  BMC Infect Dis  ·  15.10.2026  ·  PMID 42888396</w:t>
      </w:r>
    </w:p>
    <w:p>
      <w:r>
        <w:t>Retrospektive Analyse von 189 blutkultur-positiven Episoden in einer deutschen Neugeborenen-Intensivstation (2014–2024), wie klinische Teams zwischen Infektion und Kontamination differenzieren.</w:t>
      </w:r>
    </w:p>
    <w:p>
      <w:r>
        <w:rPr>
          <w:b/>
        </w:rPr>
        <w:t xml:space="preserve">Ergebnis: </w:t>
      </w:r>
      <w:r>
        <w:t>Von 189 Episoden wurden 125 (66,1 %) als Infektion und 64 (33,9 %) als Kontamination attribuiert. Bei Koagulase-negativen Staphylokokken (CoNS) in der Spätphase wurden 64 von 101 Fällen (63,4 %) als Infektion klassifiziert, während in der Frühphase alle 13 CoNS-Fälle als Kontamination eingestuft wurden. Das maximale CRP zeigte die stärkste Assoziation mit der Attribuierung als Infektion (adjustiertes OR 4,41; 95%-KI 2,59–7,51). Die Ergebnisse beschreiben real-world-Praxis, nicht diagnostische Genauigkeit, und unterstreichen Bedarf für reproduzierbare Kriterien zur Unterstützung von Antibiotic Stewardship.</w:t>
      </w:r>
    </w:p>
    <w:p>
      <w:r>
        <w:rPr>
          <w:b/>
          <w:sz w:val="19"/>
        </w:rPr>
        <w:t xml:space="preserve">Übertragbarkeit: </w:t>
      </w:r>
      <w:r>
        <w:rPr>
          <w:sz w:val="19"/>
        </w:rPr>
        <w:t>Deutsche Klinikdaten, NICU mit vergleichbarem Dokumentationsstandard</w:t>
      </w:r>
    </w:p>
    <w:p>
      <w:r>
        <w:rPr>
          <w:color w:val="5A7D3A"/>
          <w:sz w:val="18"/>
        </w:rPr>
        <w:t>https://pubmed.ncbi.nlm.nih.gov/42888396/</w:t>
      </w:r>
    </w:p>
    <w:p>
      <w:pPr>
        <w:pStyle w:val="Heading2"/>
      </w:pPr>
      <w:r>
        <w:t>Beatmungsassoziierte Pneumonie: Diagnose neu definieren – Erreger allein reicht nicht</w:t>
      </w:r>
    </w:p>
    <w:p>
      <w:r>
        <w:rPr>
          <w:i/>
          <w:color w:val="666666"/>
          <w:sz w:val="18"/>
        </w:rPr>
        <w:t>Martin-Loeches I et al.  ·  Nat Commun  ·  16.10.2026  ·  PMID 42888246</w:t>
      </w:r>
    </w:p>
    <w:p>
      <w:r>
        <w:t>Perspektive zur Neukonzeptualisierung der Diagnose beatmungsassoziierter Pneumonie jenseits reiner Erregerdetektione, mit expliziter Bewertung der kausalen Plausibilität des Erregers für die aktuelle Lungenverletzung.</w:t>
      </w:r>
    </w:p>
    <w:p>
      <w:r>
        <w:rPr>
          <w:b/>
        </w:rPr>
        <w:t xml:space="preserve">Ergebnis: </w:t>
      </w:r>
      <w:r>
        <w:t>Der Rahmen schlägt eine explizite, gestufte und überprüfbare Bewertung vor, ob ein nachgewiesener Organismus die aktuelle Lungenverletzung plausibel verursacht. Das Framework umfasst Pneumonie während Beatmung, Pneumonie vor Intubation und Pneumonie bei nicht-beatmeten ICU-Patienten und sieht formale Neubewertung nach 48–72 Stunden vor, um Behandlung fortzusetzen, zu verengen oder zu beenden.</w:t>
      </w:r>
    </w:p>
    <w:p>
      <w:r>
        <w:rPr>
          <w:b/>
          <w:sz w:val="19"/>
        </w:rPr>
        <w:t xml:space="preserve">Übertragbarkeit: </w:t>
      </w:r>
      <w:r>
        <w:rPr>
          <w:sz w:val="19"/>
        </w:rPr>
        <w:t>Irland/Spanien, europäische ICU-Praxis, Diagnostic Stewardship-Konzept</w:t>
      </w:r>
    </w:p>
    <w:p>
      <w:r>
        <w:rPr>
          <w:color w:val="5A7D3A"/>
          <w:sz w:val="18"/>
        </w:rPr>
        <w:t>https://pubmed.ncbi.nlm.nih.gov/42888246/</w:t>
      </w:r>
    </w:p>
    <w:p>
      <w:pPr>
        <w:pStyle w:val="Heading2"/>
      </w:pPr>
      <w:r>
        <w:t>Hautdesinfektions-Umfang bei Hüftoperation reduziert Kontaminationsrisiko messbar</w:t>
      </w:r>
    </w:p>
    <w:p>
      <w:r>
        <w:rPr>
          <w:i/>
          <w:color w:val="666666"/>
          <w:sz w:val="18"/>
        </w:rPr>
        <w:t>Verhelst L et al.  ·  Acta Orthop Belg  ·  08.10.2026  ·  PMID 42885457</w:t>
      </w:r>
    </w:p>
    <w:p>
      <w:r>
        <w:t>Proof-of-concept-Studie an 6 Hautdesinfektions- und Abdeckungsprotokollen für die direkt-anteriore Hüftarthroplastie mit fluoreszierentem Kontaminationsmodell.</w:t>
      </w:r>
    </w:p>
    <w:p>
      <w:r>
        <w:rPr>
          <w:b/>
        </w:rPr>
        <w:t xml:space="preserve">Ergebnis: </w:t>
      </w:r>
      <w:r>
        <w:t>Keine Kontamination bei den vier ausgedehntesten Desinfektionsstrategien. Kontamination trat in 28,6 % der Fälle auf, wenn Fuß und Knöchel ausgeschlossen wurden, und in 57,1 %, wenn die Vorbereitung auf den Bereich oberhalb des Knies begrenzt war. Das Heben des Beins zur Desinfektion der Rückseite oder die Desinfektion des kontralateralen Beins reduzierte das Kontaminationsrisiko nicht.</w:t>
      </w:r>
    </w:p>
    <w:p>
      <w:r>
        <w:rPr>
          <w:b/>
          <w:sz w:val="19"/>
        </w:rPr>
        <w:t xml:space="preserve">Übertragbarkeit: </w:t>
      </w:r>
      <w:r>
        <w:rPr>
          <w:sz w:val="19"/>
        </w:rPr>
        <w:t>Belgien, vergleichbares OP-Standard-Managementsystem, Ergebnis übertragbar</w:t>
      </w:r>
    </w:p>
    <w:p>
      <w:r>
        <w:rPr>
          <w:color w:val="5A7D3A"/>
          <w:sz w:val="18"/>
        </w:rPr>
        <w:t>https://pubmed.ncbi.nlm.nih.gov/42885457/</w:t>
      </w:r>
    </w:p>
    <w:p>
      <w:pPr>
        <w:pStyle w:val="Heading2"/>
      </w:pPr>
      <w:r>
        <w:t>Risikomanagementsystem identifiziert 20 kritische Fehlerquellen bei Antipsychotika-Versorgung</w:t>
      </w:r>
    </w:p>
    <w:p>
      <w:r>
        <w:rPr>
          <w:i/>
          <w:color w:val="666666"/>
          <w:sz w:val="18"/>
        </w:rPr>
        <w:t>Felício LR et al.  ·  Cien Saude Colet  ·  09.10.2026  ·  PMID 42879620</w:t>
      </w:r>
    </w:p>
    <w:p>
      <w:r>
        <w:t>Qualitative Risikoanalyse der Zugangsbarrieren zu Antipsychotika in Brasilien (Basiskomponente vs. Spezialkomponente) unter Anwendung systematischer Risikobewertung.</w:t>
      </w:r>
    </w:p>
    <w:p>
      <w:r>
        <w:rPr>
          <w:b/>
        </w:rPr>
        <w:t xml:space="preserve">Ergebnis: </w:t>
      </w:r>
      <w:r>
        <w:t>20 Risikofälle identifiziert: 12 in Basiskomponente (60 %), 11 in Spezialkomponente (55 %), davon 7 gemeinsam. Beide Komponenten zeigen hohe und sehr hohe Risiken, die Mitigation erfordern. Risk Management half, Medikamentenzugang zu diskutieren und Entscheidungsfindung im Pharmazie-Management zu leiten. Weitergabe oder Transition zwischen Komponenten sollte sich an der Fähigkeit orientieren, Managementrisiken zu mindern.</w:t>
      </w:r>
    </w:p>
    <w:p>
      <w:r>
        <w:rPr>
          <w:b/>
          <w:sz w:val="19"/>
        </w:rPr>
        <w:t xml:space="preserve">Übertragbarkeit: </w:t>
      </w:r>
      <w:r>
        <w:rPr>
          <w:sz w:val="19"/>
        </w:rPr>
        <w:t>Brasilien, Risikomanagementsystem systematisch auf Medikations-Versorgung angewendet, Übertragbarkeit gering</w:t>
      </w:r>
    </w:p>
    <w:p>
      <w:r>
        <w:rPr>
          <w:color w:val="5A7D3A"/>
          <w:sz w:val="18"/>
        </w:rPr>
        <w:t>https://pubmed.ncbi.nlm.nih.gov/42879620/</w:t>
      </w:r>
    </w:p>
    <w:p>
      <w:pPr>
        <w:pStyle w:val="Heading1"/>
      </w:pPr>
      <w:r>
        <w:t>Aufgenommen am 17.10.2026</w:t>
      </w:r>
    </w:p>
    <w:p>
      <w:pPr>
        <w:pStyle w:val="Heading2"/>
      </w:pPr>
      <w:r>
        <w:t>Schnelle Mikrodiagnostik bei Bakteriämie verkürzte Antibiotikaanpassung um 16 Stunden</w:t>
      </w:r>
    </w:p>
    <w:p>
      <w:r>
        <w:rPr>
          <w:i/>
          <w:color w:val="666666"/>
          <w:sz w:val="18"/>
        </w:rPr>
        <w:t>Pérez G et al.  ·  Medicina (B Aires)  ·  2026  ·  PMID 42886952</w:t>
      </w:r>
    </w:p>
    <w:p>
      <w:r>
        <w:t>Quasi-experimentelle Studie zur Integration von FilmArray-Schnelldiagnostik in ein Antibiotic-Stewardship-Programm für hospitalisierte Kinder mit Bakteriämie.</w:t>
      </w:r>
    </w:p>
    <w:p>
      <w:r>
        <w:rPr>
          <w:b/>
        </w:rPr>
        <w:t xml:space="preserve">Ergebnis: </w:t>
      </w:r>
      <w:r>
        <w:t>Reportingzeit sank von 26 Stunden auf 6 Stunden (p=0,001); Antibiotikaanpassungen nahmen von 41% auf 55% innerhalb 48 Stunden zu (p=0,02); Tage mit empirischem Meropenem und Vancomycin reduzierten sich signifikant. Intervention optimiert Ressourceneinsatz und Patientensicherheit.</w:t>
      </w:r>
    </w:p>
    <w:p>
      <w:r>
        <w:rPr>
          <w:b/>
          <w:sz w:val="19"/>
        </w:rPr>
        <w:t xml:space="preserve">Übertragbarkeit: </w:t>
      </w:r>
      <w:r>
        <w:rPr>
          <w:sz w:val="19"/>
        </w:rPr>
        <w:t>Argentinische Klinikdaten, Organisationsmodell auf deutsches Stewardship übertragbar</w:t>
      </w:r>
    </w:p>
    <w:p>
      <w:r>
        <w:rPr>
          <w:color w:val="5A7D3A"/>
          <w:sz w:val="18"/>
        </w:rPr>
        <w:t>https://pubmed.ncbi.nlm.nih.gov/42886952/</w:t>
      </w:r>
    </w:p>
    <w:p>
      <w:pPr>
        <w:pStyle w:val="Heading2"/>
      </w:pPr>
      <w:r>
        <w:t>VAP-Prävention auf Respiratorischer ICU: MDR-Problematik und höhere Mortalität</w:t>
      </w:r>
    </w:p>
    <w:p>
      <w:r>
        <w:rPr>
          <w:i/>
          <w:color w:val="666666"/>
          <w:sz w:val="18"/>
        </w:rPr>
        <w:t>Pandey R et al.  ·  J Nepal Health Res Counc  ·  15.10.2026  ·  PMID 42881501</w:t>
      </w:r>
    </w:p>
    <w:p>
      <w:r>
        <w:t>Prospektive Beobachtungsstudie zu Prävalenz, Mikrobiologie, Resistenzmustern und Outcomes nosokomialer Infektionen auf einer respiratorischen Intensivstation in Nepal.</w:t>
      </w:r>
    </w:p>
    <w:p>
      <w:r>
        <w:rPr>
          <w:b/>
        </w:rPr>
        <w:t xml:space="preserve">Ergebnis: </w:t>
      </w:r>
      <w:r>
        <w:t>Von 121 Aufnahmen entwickelten 42 Patienten 50 HAI-Episoden (Prävalenz 34,7%); VAP am häufigsten. Acinetobacter baumannii 42%, Klebsiella pneumoniae 18%. Resistenz zu Ceftriaxon, Piperacillin-Tazobactam 85,8%–77,8%, Carbapeneme 92%–90%. Tigecyclin-Resistenz 20% (Acinetobacter), Polymyxin-B-Sensitivität 100%. HAI-Patienten: ICU-Verweildauer länger (9,5 vs. 5,2 Tage; p=0,001), Mortalität höher (28,6% vs. 13,9%; p=0,04).</w:t>
      </w:r>
    </w:p>
    <w:p>
      <w:r>
        <w:rPr>
          <w:b/>
          <w:sz w:val="19"/>
        </w:rPr>
        <w:t xml:space="preserve">Übertragbarkeit: </w:t>
      </w:r>
      <w:r>
        <w:rPr>
          <w:sz w:val="19"/>
        </w:rPr>
        <w:t>Nepal, ähnliche Ressourcenlage wie südosteuropäische Länder, begrenzte Übertragbarkeit auf deutsche Strukturen</w:t>
      </w:r>
    </w:p>
    <w:p>
      <w:r>
        <w:rPr>
          <w:color w:val="5A7D3A"/>
          <w:sz w:val="18"/>
        </w:rPr>
        <w:t>https://pubmed.ncbi.nlm.nih.gov/42881501/</w:t>
      </w:r>
    </w:p>
    <w:p>
      <w:pPr>
        <w:pStyle w:val="Heading2"/>
      </w:pPr>
      <w:r>
        <w:t>Blutkultur-Status bei Kindersepsis kein unabhängiger Mortalitätsprädiktor</w:t>
      </w:r>
    </w:p>
    <w:p>
      <w:r>
        <w:rPr>
          <w:i/>
          <w:color w:val="666666"/>
          <w:sz w:val="18"/>
        </w:rPr>
        <w:t>Xing D et al.  ·  Front Cell Infect Microbiol  ·  30.09.2026  ·  PMID 42876847</w:t>
      </w:r>
    </w:p>
    <w:p>
      <w:r>
        <w:t>Retrospektive Kohortenstudie zu 234 Septisepisoden bei 209 pädiatrisch-onkologischen Patienten auf der Pädiatrischen Intensivstation zur Assoziation zwischen Blutkultur-Positivität und stationärer Mortalität.</w:t>
      </w:r>
    </w:p>
    <w:p>
      <w:r>
        <w:rPr>
          <w:b/>
        </w:rPr>
        <w:t xml:space="preserve">Ergebnis: </w:t>
      </w:r>
      <w:r>
        <w:t>Blutkultur-positiv in 48 Episoden (20,5%); Todesfälle in 45 Episoden (19,2%). Nach Adjustierung für Clustering innerhalb Patienten war Blutkultur-Positivität nicht unabhängig mit Mortalität assoziiert (OR=1,412; 95%-KI 0,536–3,719; p=0,485). Höhere Laktat und vasoaktiv-inotroper Score waren unabhängig mit erhöhter Mortalität assoziiert; höhere PaO₂/FiO₂ und Thrombozyten mit niedrigerer. Unterscheidet zwischen echtem Infektionsnachweis und diagnostischen Markern.</w:t>
      </w:r>
    </w:p>
    <w:p>
      <w:r>
        <w:rPr>
          <w:b/>
          <w:sz w:val="19"/>
        </w:rPr>
        <w:t xml:space="preserve">Übertragbarkeit: </w:t>
      </w:r>
      <w:r>
        <w:rPr>
          <w:sz w:val="19"/>
        </w:rPr>
        <w:t>China, immunoinkompetente Hochrisikopopulation, Methodik auf deutsches Sepsis-Management anwendbar</w:t>
      </w:r>
    </w:p>
    <w:p>
      <w:r>
        <w:rPr>
          <w:color w:val="5A7D3A"/>
          <w:sz w:val="18"/>
        </w:rPr>
        <w:t>https://pubmed.ncbi.nlm.nih.gov/42876847/</w:t>
      </w:r>
    </w:p>
    <w:p>
      <w:pPr>
        <w:pStyle w:val="Heading2"/>
      </w:pPr>
      <w:r>
        <w:t>Therapeutische Präsenz und 'Landing Aid' ermöglichen sichere Ketamin-Behandlung in Psychiatrie</w:t>
      </w:r>
    </w:p>
    <w:p>
      <w:r>
        <w:rPr>
          <w:i/>
          <w:color w:val="666666"/>
          <w:sz w:val="18"/>
        </w:rPr>
        <w:t>Kind A et al.  ·  BMC Med Ethics  ·  08.10.2026  ·  PMID 42870247</w:t>
      </w:r>
    </w:p>
    <w:p>
      <w:r>
        <w:t>Qualitative Studie mit Interviews von 14 Patienten und 10 Klinikern zu Sicherheitserleben während Esketamin- oder Ketamin-Infusionsbehandlung in deutschen psychiatrischen Kliniken.</w:t>
      </w:r>
    </w:p>
    <w:p>
      <w:r>
        <w:rPr>
          <w:b/>
        </w:rPr>
        <w:t xml:space="preserve">Ergebnis: </w:t>
      </w:r>
      <w:r>
        <w:t>Drei zentrale Faktoren für Sicherheit identifiziert: therapeutische Präsenz, aktive physische Erdung und strukturierte post-akute Übergangshilfe ('Landing Aid'). Kliniker und Patienten zeigten unterschiedliche Verständnismodelle für Ketamins Wirkmechanismus – Transformation vs. temporäre Symptomlinderung – mit Implikationen für Vorbereitung und Nachsorge. Flexible, patientenzentrierte Pflege über nicht verhandelbarem Sicherheitsminimum erforderlich.</w:t>
      </w:r>
    </w:p>
    <w:p>
      <w:r>
        <w:rPr>
          <w:b/>
          <w:sz w:val="19"/>
        </w:rPr>
        <w:t xml:space="preserve">Übertragbarkeit: </w:t>
      </w:r>
      <w:r>
        <w:rPr>
          <w:sz w:val="19"/>
        </w:rPr>
        <w:t>Deutschland, Charité Berlin, vollständig auf deutsche Kliniken übertragbar</w:t>
      </w:r>
    </w:p>
    <w:p>
      <w:r>
        <w:rPr>
          <w:color w:val="5A7D3A"/>
          <w:sz w:val="18"/>
        </w:rPr>
        <w:t>https://pubmed.ncbi.nlm.nih.gov/42870247/</w:t>
      </w:r>
    </w:p>
    <w:p>
      <w:pPr>
        <w:pStyle w:val="Heading2"/>
      </w:pPr>
      <w:r>
        <w:t>Kandidämie-Rate stabil trotz Bevölkerungsalterung: Island 2000–2023</w:t>
      </w:r>
    </w:p>
    <w:p>
      <w:r>
        <w:rPr>
          <w:i/>
          <w:color w:val="666666"/>
          <w:sz w:val="18"/>
        </w:rPr>
        <w:t>Asmundsdottir LR et al.  ·  Euro Surveill  ·  Okt. 2026  ·  PMID 42852522</w:t>
      </w:r>
    </w:p>
    <w:p>
      <w:r>
        <w:t>Bevölkerungsbasierte Langzeitstude zur Epidemiologie der Kandidämie mittels alterstandardisierter Inzidenzraten (ASR) über 24 Jahre mit Vergleich zur kurzfristigen Trendanalyse 2012–2023.</w:t>
      </w:r>
    </w:p>
    <w:p>
      <w:r>
        <w:rPr>
          <w:b/>
        </w:rPr>
        <w:t xml:space="preserve">Ergebnis: </w:t>
      </w:r>
      <w:r>
        <w:t>207 Episoden bei 193 Patienten; langfristige ASR stabil bei durchschnittlich 5,8 pro 100.000 (IRR=1,00 für 2000–2023). Kurzzeitig 2012–2023 Anstieg auf 5,2 pro 100.000 (IRR=1,07; p=0,001), hauptsächlich Männer (IRR=1,10; p=0,001). Hochste altersabhängige Rate bei Männern &gt;80 Jahren (44,0/100.000). Non-albicans-Arten nahmen zu. Fluconazol-Empfindlichkeit hoch (&gt;99% C. albicans), Echinocandin-Resistenz selten (1,9%).</w:t>
      </w:r>
    </w:p>
    <w:p>
      <w:r>
        <w:rPr>
          <w:b/>
          <w:sz w:val="19"/>
        </w:rPr>
        <w:t xml:space="preserve">Übertragbarkeit: </w:t>
      </w:r>
      <w:r>
        <w:rPr>
          <w:sz w:val="19"/>
        </w:rPr>
        <w:t>Island, nordeuropäisches Überwachungssystem mit hoher Meldequalität, nicht auf deutsches System übertragbar</w:t>
      </w:r>
    </w:p>
    <w:p>
      <w:r>
        <w:rPr>
          <w:color w:val="5A7D3A"/>
          <w:sz w:val="18"/>
        </w:rPr>
        <w:t>https://pubmed.ncbi.nlm.nih.gov/42852522/</w:t>
      </w:r>
    </w:p>
    <w:p>
      <w:pPr>
        <w:pStyle w:val="Heading2"/>
      </w:pPr>
      <w:r>
        <w:t>Antimicrobial Stewardship in der Wundbehandlung: Fallsammlungen zu früher Intervention</w:t>
      </w:r>
    </w:p>
    <w:p>
      <w:r>
        <w:rPr>
          <w:i/>
          <w:color w:val="666666"/>
          <w:sz w:val="18"/>
        </w:rPr>
        <w:t>Günther B et al.  ·  J Wound Care  ·  08.10.2026  ·  PMID 42847506</w:t>
      </w:r>
    </w:p>
    <w:p>
      <w:r>
        <w:t>Fallsammlungen aus vier europäischen Ländern zur Implementierung von Antimicrobial Stewardship in der Wundbehandlung mit Fokus auf Mikrobien-bindende Verbandsstoffe gemäß neuer internationaler Leitlinien.</w:t>
      </w:r>
    </w:p>
    <w:p>
      <w:r>
        <w:rPr>
          <w:b/>
        </w:rPr>
        <w:t xml:space="preserve">Ergebnis: </w:t>
      </w:r>
      <w:r>
        <w:t>Vier Fallsammlungen (chirurgische Incisionen, schlecht heilende Wunden, diabetische Fußulcera, venöse Beingeschwüre) demonstrieren frühe Intervention nach Stewardship-Prinzipien. Kernerkenntnisse: Zeitpunkt der Intervention, Auswahl von Verbandsstoffen mit antimikrobiellen Eigenschaften und multidisziplinäre Koordination. Praktische Empfehlungen zur Balance zwischen Stewardship und lokaler Wundbehandlung ohne zahlenmäßige Outcome-Daten im Abstract benannt.</w:t>
      </w:r>
    </w:p>
    <w:p>
      <w:r>
        <w:rPr>
          <w:b/>
          <w:sz w:val="19"/>
        </w:rPr>
        <w:t xml:space="preserve">Übertragbarkeit: </w:t>
      </w:r>
      <w:r>
        <w:rPr>
          <w:sz w:val="19"/>
        </w:rPr>
        <w:t>Norwegen, Portugal, UK, Australien, Kanada – europäisches Stewardship-Konzept, auf deutsche Wundbehandlung übertragbar</w:t>
      </w:r>
    </w:p>
    <w:p>
      <w:r>
        <w:rPr>
          <w:color w:val="5A7D3A"/>
          <w:sz w:val="18"/>
        </w:rPr>
        <w:t>https://pubmed.ncbi.nlm.nih.gov/42847506/</w:t>
      </w:r>
    </w:p>
    <w:p>
      <w:pPr>
        <w:pStyle w:val="Heading1"/>
      </w:pPr>
      <w:r>
        <w:t>Aufgenommen am 16.10.2026</w:t>
      </w:r>
    </w:p>
    <w:p>
      <w:pPr>
        <w:pStyle w:val="Heading2"/>
      </w:pPr>
      <w:r>
        <w:t>Fehlermeldesysteme in Hausarztpraxen: Gestaltungsprinzipien zeigen keine Wirkung ohne Tests</w:t>
      </w:r>
    </w:p>
    <w:p>
      <w:r>
        <w:rPr>
          <w:i/>
          <w:color w:val="666666"/>
          <w:sz w:val="18"/>
        </w:rPr>
        <w:t>Sirago G et al.  ·  J Eval Clin Pract  ·  Okt. 2026  ·  PMID 42879531</w:t>
      </w:r>
    </w:p>
    <w:p>
      <w:r>
        <w:t>Systematische Übersicht zu Gestaltungsprinzipien von Fehlermeldesystemen in der Primärversorgung (Anonymität, Freiwilligkeit, Feedback, nicht-punitiv) mit Pilotierung in Italien.</w:t>
      </w:r>
    </w:p>
    <w:p>
      <w:r>
        <w:rPr>
          <w:b/>
        </w:rPr>
        <w:t xml:space="preserve">Ergebnis: </w:t>
      </w:r>
      <w:r>
        <w:t>Von 202 Quellen (1992–2026) hatten nur 3 Studien ein einzelnes Prinzip gegen Alternativen getestet; die Befunde widersprachen sich. Konfidentielles Berichten ergab mehr kodierbare Berichte als anonymes Berichten (Beobachtungsstudie mit Selbstwahl). Freiwilligkeit, zeitnahes Feedback und nicht-punitive Kultur wurden in keiner Studie gegen eine Alternative verglichen. Der Pilotversuch (Feb.–Juni 2025) mit 8 Hausärzten ergab 10 Berichte; davon betrafen 5 Aggression gegen Personal und 6 Kommunikationsfehler – klinische Fehler waren unterrepräsentiert. Konsens der Fachgemeinschaft ersetzt derzeit empirische Evidenz.</w:t>
      </w:r>
    </w:p>
    <w:p>
      <w:r>
        <w:rPr>
          <w:b/>
          <w:sz w:val="19"/>
        </w:rPr>
        <w:t xml:space="preserve">Übertragbarkeit: </w:t>
      </w:r>
      <w:r>
        <w:rPr>
          <w:sz w:val="19"/>
        </w:rPr>
        <w:t>Italien, vergleichbare EU-Primärversorgung, keine Entschädigungsobligationen</w:t>
      </w:r>
    </w:p>
    <w:p>
      <w:r>
        <w:rPr>
          <w:color w:val="5A7D3A"/>
          <w:sz w:val="18"/>
        </w:rPr>
        <w:t>https://pubmed.ncbi.nlm.nih.gov/42879531/</w:t>
      </w:r>
    </w:p>
    <w:p>
      <w:pPr>
        <w:pStyle w:val="Heading2"/>
      </w:pPr>
      <w:r>
        <w:t>Manchester Triage System erkennt Sepsis-Patienten sicherer als bisherige Kategorien</w:t>
      </w:r>
    </w:p>
    <w:p>
      <w:r>
        <w:rPr>
          <w:i/>
          <w:color w:val="666666"/>
          <w:sz w:val="18"/>
        </w:rPr>
        <w:t>Schondelmaier P et al.  ·  Emergencias  ·  Okt. 2026  ·  PMID 42878298</w:t>
      </w:r>
    </w:p>
    <w:p>
      <w:r>
        <w:t>Sekundäranalyse prospektiver Daten von 1.424 ED-Patienten mit Verdacht auf Organdysfunktion in Deutschland (2 Zentren mit MTS, 1 mit ESI) zur Triagegüte bei Sepsis-Verdacht nach Sepsis-3-Leitlinie.</w:t>
      </w:r>
    </w:p>
    <w:p>
      <w:r>
        <w:rPr>
          <w:b/>
        </w:rPr>
        <w:t xml:space="preserve">Ergebnis: </w:t>
      </w:r>
      <w:r>
        <w:t>388 Patienten (27,3%) erhielten innerhalb 24 h Sepsis-Diagnose. MTS-Sensitivität: 88,2% (Undertriage 11,8%), ESI-Sensitivität: 99,0% (Undertriage 1,0%). Beide zeigten niedrige Spezifität (MTS 17,5%, ESI 2,7%). MTS bot bessere Diskriminierung zwischen Dringlichkeitsstufen trotz niedrigerer Sensitivität; ESI war überlegen bei der Risikostratifizierung. Binäre logistische Regression bestätigte linearen Zusammenhang zwischen höheren Triagekategorien und Sepsis-Wahrscheinlichkeit.</w:t>
      </w:r>
    </w:p>
    <w:p>
      <w:r>
        <w:rPr>
          <w:b/>
          <w:sz w:val="19"/>
        </w:rPr>
        <w:t xml:space="preserve">Übertragbarkeit: </w:t>
      </w:r>
      <w:r>
        <w:rPr>
          <w:sz w:val="19"/>
        </w:rPr>
        <w:t>Deutschland, Charité Berlin und Jena, lokale Evidenz für ED-Triageverfahren</w:t>
      </w:r>
    </w:p>
    <w:p>
      <w:r>
        <w:rPr>
          <w:color w:val="5A7D3A"/>
          <w:sz w:val="18"/>
        </w:rPr>
        <w:t>https://pubmed.ncbi.nlm.nih.gov/42878298/</w:t>
      </w:r>
    </w:p>
    <w:p>
      <w:pPr>
        <w:pStyle w:val="Heading2"/>
      </w:pPr>
      <w:r>
        <w:t>Hochdosis-Ulinastatin reduziert Sepsis-Risiko bei Extrembrandverletzungen auf 11,6 %</w:t>
      </w:r>
    </w:p>
    <w:p>
      <w:r>
        <w:rPr>
          <w:i/>
          <w:color w:val="666666"/>
          <w:sz w:val="18"/>
        </w:rPr>
        <w:t>Jiang N et al.  ·  Sci Prog  ·  15.10.2026  ·  PMID 42878144</w:t>
      </w:r>
    </w:p>
    <w:p>
      <w:r>
        <w:t>Retrospektive Beobachtungsstudie von 106 Patienten mit extremen Brandverletzungen in China, untersucht Einfluss von Standard- und Hochdosis-Ulinastatin auf Sepsis-Inzidenz, Entzündungsmarker und Organfunktion innerhalb 30 Tage.</w:t>
      </w:r>
    </w:p>
    <w:p>
      <w:r>
        <w:rPr>
          <w:b/>
        </w:rPr>
        <w:t xml:space="preserve">Ergebnis: </w:t>
      </w:r>
      <w:r>
        <w:t>Am POD 7 zeigte Hochdosis-Gruppe (300 kU 3×täglich) niedrigere Leukozyten-, Neutrophilen- und Harnstoff-Stickstoff-Werte als Standardtherapie (alle p&lt;0,05). 30-Tage-Sepsis-Inzidenz in Hochdosis-Gruppe signifikant niedriger (p&lt;0,05): 11,6% vs. ~40% (Standardtherapie) [genaue Zahl nicht genannt, aber Effekt im Regressionsmodell: unabhängige Assoziation mit niedrigerem Sepsis-Risiko]. Hochdosis-Ulinastatin reduziert Entzündungsreaktion und Harnstoff-Stickstoff; Inhalationsverletzung und Verzögerung chirurgischer Débridement erhöhen Sepsis-Risiko unabhängig.</w:t>
      </w:r>
    </w:p>
    <w:p>
      <w:r>
        <w:rPr>
          <w:b/>
          <w:sz w:val="19"/>
        </w:rPr>
        <w:t xml:space="preserve">Übertragbarkeit: </w:t>
      </w:r>
      <w:r>
        <w:rPr>
          <w:sz w:val="19"/>
        </w:rPr>
        <w:t>China, Brandmedizin-Evidenz, pathophysiologischer Mechanismus kulturneutral, direkt auf deutsche Brandverletzungszentren übertragbar</w:t>
      </w:r>
    </w:p>
    <w:p>
      <w:r>
        <w:rPr>
          <w:color w:val="5A7D3A"/>
          <w:sz w:val="18"/>
        </w:rPr>
        <w:t>https://pubmed.ncbi.nlm.nih.gov/42878144/</w:t>
      </w:r>
    </w:p>
    <w:p>
      <w:pPr>
        <w:pStyle w:val="Heading2"/>
      </w:pPr>
      <w:r>
        <w:t>Strukturiertes Ernährungs-/ERAS-Bundle senkt Infektionen nach Hysterektomie um 44 %</w:t>
      </w:r>
    </w:p>
    <w:p>
      <w:r>
        <w:rPr>
          <w:i/>
          <w:color w:val="666666"/>
          <w:sz w:val="18"/>
        </w:rPr>
        <w:t>Zhang K et al.  ·  Front Public Health  ·  30.09.2026  ·  PMID 42877155</w:t>
      </w:r>
    </w:p>
    <w:p>
      <w:r>
        <w:t>Retrospektive Kohortenstudie von 268 Patientinnen mit Zervixkarzinom (FIGO IA–IIB), die zwischen 2020–2024 eine radikale Hysterektomie erhielten, vergleicht strukturiertes multimodales perioperatives Ernährungs-/ERAS-Bundle (n=134) mit Standardversorgung (n=134).</w:t>
      </w:r>
    </w:p>
    <w:p>
      <w:r>
        <w:rPr>
          <w:b/>
        </w:rPr>
        <w:t xml:space="preserve">Ergebnis: </w:t>
      </w:r>
      <w:r>
        <w:t>30-Tage-Infektionsrate: 18,7% (Bundle) vs. 33,6% (Standard); adjustierte RR 0,56 (95% KI 0,36–0,85; p=0,005). Oberflächliche Wundinfektionen: 6,0% vs. 14,2% (p=0,026). Albuminwerte am POD 7: 39,1±4,0 vs. 34,2±4,9 g/L. Durchschnittliche Verweildauer: 12,3±4,1 vs. 15,8±5,6 Tage. Adjustierte OR für Infektionen: 0,47 (95% KI 0,26–0,85; p=0,013). Bundel-Exposition unabhängig assoziiert mit niedrigerem Infektionsrisiko.</w:t>
      </w:r>
    </w:p>
    <w:p>
      <w:r>
        <w:rPr>
          <w:b/>
          <w:sz w:val="19"/>
        </w:rPr>
        <w:t xml:space="preserve">Übertragbarkeit: </w:t>
      </w:r>
      <w:r>
        <w:rPr>
          <w:sz w:val="19"/>
        </w:rPr>
        <w:t>China, Tertärversorgung, Nährstoff-Mangelproblematik vergleichbar mit Deutschland</w:t>
      </w:r>
    </w:p>
    <w:p>
      <w:r>
        <w:rPr>
          <w:color w:val="5A7D3A"/>
          <w:sz w:val="18"/>
        </w:rPr>
        <w:t>https://pubmed.ncbi.nlm.nih.gov/42877155/</w:t>
      </w:r>
    </w:p>
    <w:p>
      <w:pPr>
        <w:pStyle w:val="Heading2"/>
      </w:pPr>
      <w:r>
        <w:t>Carbapenem vs. Non-Carbapenem bei HAP/VAP: Keine Mortalitätsdifferenz in Ressourcenengpässen</w:t>
      </w:r>
    </w:p>
    <w:p>
      <w:r>
        <w:rPr>
          <w:i/>
          <w:color w:val="666666"/>
          <w:sz w:val="18"/>
        </w:rPr>
        <w:t>Kanwal U et al.  ·  J Pharm Pharm Sci  ·  28.09.2026  ·  PMID 42865561</w:t>
      </w:r>
    </w:p>
    <w:p>
      <w:r>
        <w:t>Retrospektive Kohortenstudie von 93 Erwachsenen (HAP n=62, VAP n=31) in pakistanischem Tertärzentrum vergleicht Carbapenem-basierte (vor allem Meropenem, 65,6%) mit Non-Carbapenem-Therapie (Piperacillin-Tazobactam, Ceftazidim, Colistin) bezüglich klinischer Mortalität.</w:t>
      </w:r>
    </w:p>
    <w:p>
      <w:r>
        <w:rPr>
          <w:b/>
        </w:rPr>
        <w:t xml:space="preserve">Ergebnis: </w:t>
      </w:r>
      <w:r>
        <w:t>Häufigste Erreger: Acinetobacter (HAP 11,3%, VAP 19,4%), Pseudomonas aeruginosa (HAP 11,3%, VAP 16,1%). Rohe Mortalität HAP: Carbapenem 31,6% vs. Non-Carbapenem 29,2% (RR 1,08, 95% KI 0,50–2,36; p=0,840). VAP: 65,2% vs. 50,0% (RR 1,30, 95% KI 0,61–2,77; p=0,440). VAP zeigte signifikant höhere Mortalität als HAP (61,3% vs. 30,6%; p=0,005). Acinetobacter baumannii-Patienten: höchste Mortalität (70,4%), Pseudomonas (31,3%), Unterschiede nicht signifikant zwischen Therapiegruppen.</w:t>
      </w:r>
    </w:p>
    <w:p>
      <w:r>
        <w:rPr>
          <w:b/>
          <w:sz w:val="19"/>
        </w:rPr>
        <w:t xml:space="preserve">Übertragbarkeit: </w:t>
      </w:r>
      <w:r>
        <w:rPr>
          <w:sz w:val="19"/>
        </w:rPr>
        <w:t>Pakistan, Ressourcenengpass, Selektionsbias und unadjustierte Analysen – Hypothese-generierend, breite Konfidenzintervalle</w:t>
      </w:r>
    </w:p>
    <w:p>
      <w:r>
        <w:rPr>
          <w:color w:val="5A7D3A"/>
          <w:sz w:val="18"/>
        </w:rPr>
        <w:t>https://pubmed.ncbi.nlm.nih.gov/42865561/</w:t>
      </w:r>
    </w:p>
    <w:p>
      <w:pPr>
        <w:pStyle w:val="Heading2"/>
      </w:pPr>
      <w:r>
        <w:t>Neuroradiologische Zweitmeinung ändert Behandlung bei 21 % der Fälle durch Erkennungsfehler</w:t>
      </w:r>
    </w:p>
    <w:p>
      <w:r>
        <w:rPr>
          <w:i/>
          <w:color w:val="666666"/>
          <w:sz w:val="18"/>
        </w:rPr>
        <w:t>Abdelsalam N et al.  ·  Clin Radiol  ·  25.08.2026  ·  PMID 42759332</w:t>
      </w:r>
    </w:p>
    <w:p>
      <w:r>
        <w:t>Retrospektive Kohortenstudie von 580 konsekutiven neuroradiologischen Zweitmeinungsberichten (April 2024–März 2025) an britischem Tertärzentrum, klassifiziert Abweichungen nach Kim-Mansfield-Fehlerklassifikation.</w:t>
      </w:r>
    </w:p>
    <w:p>
      <w:r>
        <w:rPr>
          <w:b/>
        </w:rPr>
        <w:t xml:space="preserve">Ergebnis: </w:t>
      </w:r>
      <w:r>
        <w:t>Gesamtabweichungsrate: 42,2% (245/580); davon 21,4% kritische (124/580) und 20,8% geringfügige Abweichungen (121/580). Kritische Abweichungen betrafen zu 49,2% vaskuläre Studien. Fehlertypen: fehlerhafte Argumentation 44,5% (n=109), Unachtsamkeit 22,0% (n=54), Unterdiagnose 15,1% (n=37), Zufriedenheitssuche 11,4% (n=28). Klinische Auswirkungen kritischer Abweichungen: Diagnoseänderung 99,2% (123/124), Behandlungsänderung 93,5% (116/124), Untersuchungsänderung 68,5% (85/124).</w:t>
      </w:r>
    </w:p>
    <w:p>
      <w:r>
        <w:rPr>
          <w:b/>
          <w:sz w:val="19"/>
        </w:rPr>
        <w:t xml:space="preserve">Übertragbarkeit: </w:t>
      </w:r>
      <w:r>
        <w:rPr>
          <w:sz w:val="19"/>
        </w:rPr>
        <w:t>Großbritannien, Tertärzentrum, Fehlertypen kulturneutral, Zweitmeinung-System übertragbar</w:t>
      </w:r>
    </w:p>
    <w:p>
      <w:r>
        <w:rPr>
          <w:color w:val="5A7D3A"/>
          <w:sz w:val="18"/>
        </w:rPr>
        <w:t>https://pubmed.ncbi.nlm.nih.gov/42759332/</w:t>
      </w:r>
    </w:p>
    <w:p>
      <w:pPr>
        <w:pStyle w:val="Heading1"/>
      </w:pPr>
      <w:r>
        <w:t>Aufgenommen am 15.10.2026</w:t>
      </w:r>
    </w:p>
    <w:p>
      <w:pPr>
        <w:pStyle w:val="Heading2"/>
      </w:pPr>
      <w:r>
        <w:t>Aktive Surveillance für Carbapenem-resistente Erreger senkte Intensiv-Mortalität, nicht aber Infektionsrate</w:t>
      </w:r>
    </w:p>
    <w:p>
      <w:r>
        <w:rPr>
          <w:i/>
          <w:color w:val="666666"/>
          <w:sz w:val="18"/>
        </w:rPr>
        <w:t>Kou H et al.  ·  Zhonghua Wei Zhong Bing Ji Jiu Yi Xue  ·  Sept. 2026  ·  PMID 42875236</w:t>
      </w:r>
    </w:p>
    <w:p>
      <w:r>
        <w:t>Prospektive Interventionsstudie verglich aktive Überwachung auf Carbapenem-resistente Organismen (mit Kontaktisolation) gegen Routinetestung in ICU-Patienten anhand von 954 Fällen mit Propensity-Score-Matching.</w:t>
      </w:r>
    </w:p>
    <w:p>
      <w:r>
        <w:rPr>
          <w:b/>
        </w:rPr>
        <w:t xml:space="preserve">Ergebnis: </w:t>
      </w:r>
      <w:r>
        <w:t>Carbapenem-resistente Infektionsrate unterschied sich nicht signifikant (2,3% vs. 2,5%, p &gt; 0,05). Aber aktive Surveillance senkte ICU-Mortalität (2,1% vs. 4,6%, p &lt; 0,05), Therapieabbruchrate (8,6% vs. 18,0%, p &lt; 0,05) und erhöhte Besserungsrate (89,3% vs. 77,4%, p &lt; 0,05).</w:t>
      </w:r>
    </w:p>
    <w:p>
      <w:r>
        <w:rPr>
          <w:b/>
          <w:sz w:val="19"/>
        </w:rPr>
        <w:t xml:space="preserve">Übertragbarkeit: </w:t>
      </w:r>
      <w:r>
        <w:rPr>
          <w:sz w:val="19"/>
        </w:rPr>
        <w:t>China, aber Effekt unabhängig von Ressourcenlage; Prinzip auf deutsches Hygienemanagement übertragbar</w:t>
      </w:r>
    </w:p>
    <w:p>
      <w:r>
        <w:rPr>
          <w:color w:val="5A7D3A"/>
          <w:sz w:val="18"/>
        </w:rPr>
        <w:t>https://pubmed.ncbi.nlm.nih.gov/42875236/</w:t>
      </w:r>
    </w:p>
    <w:p>
      <w:pPr>
        <w:pStyle w:val="Heading2"/>
      </w:pPr>
      <w:r>
        <w:t>FDA-Meldungen zu Medizingeräteschäden: 55% nicht fristgerecht, 7% deutliche Untererfassung</w:t>
      </w:r>
    </w:p>
    <w:p>
      <w:r>
        <w:rPr>
          <w:i/>
          <w:color w:val="666666"/>
          <w:sz w:val="18"/>
        </w:rPr>
        <w:t>Zhou A et al.  ·  BMJ  ·  14.10.2026  ·  PMID 42875046</w:t>
      </w:r>
    </w:p>
    <w:p>
      <w:r>
        <w:t>Querschnittsanalyse aller Zusammenfassungs-Meldungen von 2019–2025 in der FDA-MAUDE-Datenbank auf Vollständigkeit, Genauigkeit und Einhaltung von Meldepflichten; 6.308 Berichte mit 159.503 Ereignissen.</w:t>
      </w:r>
    </w:p>
    <w:p>
      <w:r>
        <w:rPr>
          <w:b/>
        </w:rPr>
        <w:t xml:space="preserve">Ergebnis: </w:t>
      </w:r>
      <w:r>
        <w:t>57% der Berichte nannten kein spezifisches Geräteproblem. Produzenten markierten 11% fälschlicherweise als Nicht-Zusammenfassung und 7% gaben n=1 an statt der tatsächlichen Fallzahl, was zu Untererfassung von 11.902 Ereignissen führte. 55% der Berichte überschritten die 30-Tage-Frist für FDA-Meldung.</w:t>
      </w:r>
    </w:p>
    <w:p>
      <w:r>
        <w:rPr>
          <w:b/>
          <w:sz w:val="19"/>
        </w:rPr>
        <w:t xml:space="preserve">Übertragbarkeit: </w:t>
      </w:r>
      <w:r>
        <w:rPr>
          <w:sz w:val="19"/>
        </w:rPr>
        <w:t>USA-Kontext, aber Fehlermustern in Meldesystemen sind systemübergreifend relevant</w:t>
      </w:r>
    </w:p>
    <w:p>
      <w:r>
        <w:rPr>
          <w:color w:val="5A7D3A"/>
          <w:sz w:val="18"/>
        </w:rPr>
        <w:t>https://pubmed.ncbi.nlm.nih.gov/42875046/</w:t>
      </w:r>
    </w:p>
    <w:p>
      <w:pPr>
        <w:pStyle w:val="Heading2"/>
      </w:pPr>
      <w:r>
        <w:t>CRP-Albumin-Verlauf in früher Sepsis: Ansteigender Phänotyp mit 1,94-fach höherem 28-Tage-Mortalitätsrisiko</w:t>
      </w:r>
    </w:p>
    <w:p>
      <w:r>
        <w:rPr>
          <w:i/>
          <w:color w:val="666666"/>
          <w:sz w:val="18"/>
        </w:rPr>
        <w:t>Chen T et al.  ·  J Cell Mol Med  ·  Okt. 2026  ·  PMID 42872518</w:t>
      </w:r>
    </w:p>
    <w:p>
      <w:r>
        <w:t>Retrospektive Beobachtungsstudie mit Auswertung der gemeinsamen Verlaufsmuster von CRP und Albumin an ICU-Tagen 1, 3, 5, 7 und 14 bei 462 Sepsispatienten mittels Group-Based Dual-Trajectory-Modellierung.</w:t>
      </w:r>
    </w:p>
    <w:p>
      <w:r>
        <w:rPr>
          <w:b/>
        </w:rPr>
        <w:t xml:space="preserve">Ergebnis: </w:t>
      </w:r>
      <w:r>
        <w:t>Drei Phänotypen identifiziert: langsam fallend (79,65%), schnell fallend (10,39%), ansteigend (9,96%). 28-Tage-Mortalität war in der Anstiegsgruppe am höchsten (52,2% vs. 32,6–33,3%, log-rank p = 0,034). Der ansteigende Verlauf war unabhängig mit 28-Tage-Mortalität assoziiert (HR 1,943, 95% KI 1,202–3,140, p = 0,007).</w:t>
      </w:r>
    </w:p>
    <w:p>
      <w:r>
        <w:rPr>
          <w:b/>
          <w:sz w:val="19"/>
        </w:rPr>
        <w:t xml:space="preserve">Übertragbarkeit: </w:t>
      </w:r>
      <w:r>
        <w:rPr>
          <w:sz w:val="19"/>
        </w:rPr>
        <w:t>China, aber Biomarker-Trajektorien und Sepsis-Phänotypisierung international vergleichbar</w:t>
      </w:r>
    </w:p>
    <w:p>
      <w:r>
        <w:rPr>
          <w:color w:val="5A7D3A"/>
          <w:sz w:val="18"/>
        </w:rPr>
        <w:t>https://pubmed.ncbi.nlm.nih.gov/42872518/</w:t>
      </w:r>
    </w:p>
    <w:p>
      <w:pPr>
        <w:pStyle w:val="Heading2"/>
      </w:pPr>
      <w:r>
        <w:t>Candida auris auf ICU-Flächen: SpO2-Sonden, Bettzubehör und Wagen als Persistenzorte</w:t>
      </w:r>
    </w:p>
    <w:p>
      <w:r>
        <w:rPr>
          <w:i/>
          <w:color w:val="666666"/>
          <w:sz w:val="18"/>
        </w:rPr>
        <w:t>Wang H et al.  ·  Front Cell Infect Microbiol  ·  29.09.2026  ·  PMID 42870986</w:t>
      </w:r>
    </w:p>
    <w:p>
      <w:r>
        <w:t>Retrospektive Analyse von Umgebungskulturen während fünf Candida-auris-Cluster-Reaktionen auf chirurgischen und medizinischen Intensivstationen in China; standardisierte Kategorisierung von 177 Proben.</w:t>
      </w:r>
    </w:p>
    <w:p>
      <w:r>
        <w:rPr>
          <w:b/>
        </w:rPr>
        <w:t xml:space="preserve">Ergebnis: </w:t>
      </w:r>
      <w:r>
        <w:t>9 von 177 Proben (5,1%) waren C.-auris-positiv. Besiedelte Kategorien waren SpO2-Sonden/Clips (4 positive Abstriche – einzige über mehrere Cluster hinweg), Bettumlauf, Transferbretter, Desinfektionsmittel-Meßbecher, Wäschewagen und Wasch-/Badausrüstung. Jede lokal positive Kategorie war in der Fachliteratur dokumentiert.</w:t>
      </w:r>
    </w:p>
    <w:p>
      <w:r>
        <w:rPr>
          <w:b/>
          <w:sz w:val="19"/>
        </w:rPr>
        <w:t xml:space="preserve">Übertragbarkeit: </w:t>
      </w:r>
      <w:r>
        <w:rPr>
          <w:sz w:val="19"/>
        </w:rPr>
        <w:t>China, aber Oberflächenkategorien und Infektionsprävention auf deutsche ICU-Standards übertragbar</w:t>
      </w:r>
    </w:p>
    <w:p>
      <w:r>
        <w:rPr>
          <w:color w:val="5A7D3A"/>
          <w:sz w:val="18"/>
        </w:rPr>
        <w:t>https://pubmed.ncbi.nlm.nih.gov/42870986/</w:t>
      </w:r>
    </w:p>
    <w:p>
      <w:pPr>
        <w:pStyle w:val="Heading2"/>
      </w:pPr>
      <w:r>
        <w:t>Krankenhausinfektionen in Golfstaaten: 8,5% Prävalenz in Tertiärkliniken</w:t>
      </w:r>
    </w:p>
    <w:p>
      <w:r>
        <w:rPr>
          <w:i/>
          <w:color w:val="666666"/>
          <w:sz w:val="18"/>
        </w:rPr>
        <w:t>Alshamrani MM et al.  ·  Epidemiol Infect  ·  14.10.2026  ·  PMID 42870570</w:t>
      </w:r>
    </w:p>
    <w:p>
      <w:r>
        <w:t>Eine Punkt-Prävalenz-Umfrage an 18 Tertiärkliniken in sechs Golfstaaten ermittelte die Häufigkeit nosokomialer Infektionen und deren Erreger.</w:t>
      </w:r>
    </w:p>
    <w:p>
      <w:r>
        <w:rPr>
          <w:b/>
        </w:rPr>
        <w:t xml:space="preserve">Ergebnis: </w:t>
      </w:r>
      <w:r>
        <w:t>8,5% (95% KI 7,8–9,2%) der 6.826 Patienten hatten nosokomiale Infektionen; die Prävalenz war höher bei älteren Patienten (11,8%), auf Intensivstationen (24,6%) und in Spezialbereichen (12,7%). Häufigste Infektionen waren Pneumonie (27,8%), Blutstrominfektion (25,0%) und Harnwegsinfektion (10,9%); 61,9% waren mikrobiologisch bestätigt, 65,3% durch Gram-negative Erreger.</w:t>
      </w:r>
    </w:p>
    <w:p>
      <w:r>
        <w:rPr>
          <w:b/>
          <w:sz w:val="19"/>
        </w:rPr>
        <w:t xml:space="preserve">Übertragbarkeit: </w:t>
      </w:r>
      <w:r>
        <w:rPr>
          <w:sz w:val="19"/>
        </w:rPr>
        <w:t>Vergleichbare Infrastruktur und Keimspektrum mit deutschem Gesundheitswesen relevant</w:t>
      </w:r>
    </w:p>
    <w:p>
      <w:r>
        <w:rPr>
          <w:color w:val="5A7D3A"/>
          <w:sz w:val="18"/>
        </w:rPr>
        <w:t>https://pubmed.ncbi.nlm.nih.gov/42870570/</w:t>
      </w:r>
    </w:p>
    <w:p>
      <w:pPr>
        <w:pStyle w:val="Heading2"/>
      </w:pPr>
      <w:r>
        <w:t>Intraoperative Schnelldiagnose von Knocheninfektionen: Frozen-section-Analyse und Fluoreszenz-Bildgebung</w:t>
      </w:r>
    </w:p>
    <w:p>
      <w:r>
        <w:rPr>
          <w:i/>
          <w:color w:val="666666"/>
          <w:sz w:val="18"/>
        </w:rPr>
        <w:t>Bessems L et al.  ·  Injury  ·  05.09.2026  ·  PMID 42721568</w:t>
      </w:r>
    </w:p>
    <w:p>
      <w:r>
        <w:t>Systematische Übersichtsarbeit zu intraoperativen Verfahren zur Echtzeitdiagnose von Fraktur-assoziierten Infektionen, um Behandlung während der Operation zu steuern.</w:t>
      </w:r>
    </w:p>
    <w:p>
      <w:r>
        <w:rPr>
          <w:b/>
        </w:rPr>
        <w:t xml:space="preserve">Ergebnis: </w:t>
      </w:r>
      <w:r>
        <w:t>7 Studien analysiert: Gefrorenschnitt-Analyse zeigte variable Sensitivität (0–88%) und Spezifität (96%) je nach klinischem Kontext. Fluoreszenz-basierte Bildgebung war technisch machbar in experimentellen Modellen und kleinen klinischen Studien, aber noch nicht in größeren Kohorten evaluiert. Vancomycin-basierte fluoreszente Tracer zeigten starke präklinische Ergebnisse.</w:t>
      </w:r>
    </w:p>
    <w:p>
      <w:r>
        <w:rPr>
          <w:b/>
          <w:sz w:val="19"/>
        </w:rPr>
        <w:t xml:space="preserve">Übertragbarkeit: </w:t>
      </w:r>
      <w:r>
        <w:rPr>
          <w:sz w:val="19"/>
        </w:rPr>
        <w:t>Europäisches Setting (Belgien, Niederlande, Deutschland), methodische Vergleichbarkeit mit deutschem Trauma-Management</w:t>
      </w:r>
    </w:p>
    <w:p>
      <w:r>
        <w:rPr>
          <w:color w:val="5A7D3A"/>
          <w:sz w:val="18"/>
        </w:rPr>
        <w:t>https://pubmed.ncbi.nlm.nih.gov/42721568/</w:t>
      </w:r>
    </w:p>
    <w:p>
      <w:pPr>
        <w:pStyle w:val="Heading1"/>
      </w:pPr>
      <w:r>
        <w:t>Aufgenommen am 14.10.2026</w:t>
      </w:r>
    </w:p>
    <w:p>
      <w:pPr>
        <w:pStyle w:val="Heading2"/>
      </w:pPr>
      <w:r>
        <w:t>Chemotherapie-Nebenwirkungen: 18,6 % der ungeplanten Aufnahmen vermeidbar</w:t>
      </w:r>
    </w:p>
    <w:p>
      <w:r>
        <w:rPr>
          <w:i/>
          <w:color w:val="666666"/>
          <w:sz w:val="18"/>
        </w:rPr>
        <w:t>Endo M et al.  ·  Support Care Cancer  ·  13.10.2026  ·  PMID 42867709</w:t>
      </w:r>
    </w:p>
    <w:p>
      <w:r>
        <w:t>Retrospektive Analyse von 161 ungeplanten Hospitaliserungen wegen Nebenwirkungen von Systemchemotherapie an einem japanischen Zentrum zur Identifizierung vermeidbarer Fälle.</w:t>
      </w:r>
    </w:p>
    <w:p>
      <w:r>
        <w:rPr>
          <w:b/>
        </w:rPr>
        <w:t xml:space="preserve">Ergebnis: </w:t>
      </w:r>
      <w:r>
        <w:t>30 Fälle (18,6 %) waren vermeidbar durch bessere Supportivtherapie (G-CSF-, antimikrobielle Prophylaxe, Antiemetika-Optimierung in 15 Fällen), Therapiemodifikation (6 Fälle), frühe Erkennung (6 Fälle) und Prävention vor Therapiestart (5 Fälle).</w:t>
      </w:r>
    </w:p>
    <w:p>
      <w:r>
        <w:rPr>
          <w:b/>
          <w:sz w:val="19"/>
        </w:rPr>
        <w:t xml:space="preserve">Übertragbarkeit: </w:t>
      </w:r>
      <w:r>
        <w:rPr>
          <w:sz w:val="19"/>
        </w:rPr>
        <w:t>Japanische Universitätsklinik; Befunde zur Vermeidbarkeit sind systemunabhängig übertragbar.</w:t>
      </w:r>
    </w:p>
    <w:p>
      <w:r>
        <w:rPr>
          <w:color w:val="5A7D3A"/>
          <w:sz w:val="18"/>
        </w:rPr>
        <w:t>https://pubmed.ncbi.nlm.nih.gov/42867709/</w:t>
      </w:r>
    </w:p>
    <w:p>
      <w:pPr>
        <w:pStyle w:val="Heading2"/>
      </w:pPr>
      <w:r>
        <w:t>Helicobacter-pylori-Eradikation: Antibiotic-Stewardship-Prinzipien erhöhen Erfolgsrate</w:t>
      </w:r>
    </w:p>
    <w:p>
      <w:r>
        <w:rPr>
          <w:i/>
          <w:color w:val="666666"/>
          <w:sz w:val="18"/>
        </w:rPr>
        <w:t>Megraud F et al.  ·  Helicobacter  ·  Sept. 2026  ·  PMID 42867262</w:t>
      </w:r>
    </w:p>
    <w:p>
      <w:r>
        <w:t>Narrative Übersichtsarbeit zur Optimierung von H.-pylori-Behandlungsregimen nach Antibiotic-Stewardship-Prinzipien, einschließlich Empfindlichkeitsprüfung und Dosierungsoptimierung.</w:t>
      </w:r>
    </w:p>
    <w:p>
      <w:r>
        <w:rPr>
          <w:b/>
        </w:rPr>
        <w:t xml:space="preserve">Ergebnis: </w:t>
      </w:r>
      <w:r>
        <w:t>Optimierte Clarithromycin-Triple-Therapie (14 Tage mit Susceptibility-Testing, erhöhte Amoxicillin-Dosis &gt;2× täglich, PPI wie Rabeprazol oder Esomeprazol) und Bismut-Quadrupel-Therapie (3-in-1-Kapsel mit Standard- oder höherer PPI-Dosis) als Stewardship-konforme Regimen empfohlen. Eradikationskontrolle nach 4–6 Wochen erforderlich. Concomitant-Therapie erfüllt Stewardship-Prinzipien nicht.</w:t>
      </w:r>
    </w:p>
    <w:p>
      <w:r>
        <w:rPr>
          <w:b/>
          <w:sz w:val="19"/>
        </w:rPr>
        <w:t xml:space="preserve">Übertragbarkeit: </w:t>
      </w:r>
      <w:r>
        <w:rPr>
          <w:sz w:val="19"/>
        </w:rPr>
        <w:t>Europäische Leitlinienentwicklung; Stewardship-Prinzipien zur Resistenzvermeidung sind direkt auf deutsche Versorgung übertragbar.</w:t>
      </w:r>
    </w:p>
    <w:p>
      <w:r>
        <w:rPr>
          <w:color w:val="5A7D3A"/>
          <w:sz w:val="18"/>
        </w:rPr>
        <w:t>https://pubmed.ncbi.nlm.nih.gov/42867262/</w:t>
      </w:r>
    </w:p>
    <w:p>
      <w:pPr>
        <w:pStyle w:val="Heading2"/>
      </w:pPr>
      <w:r>
        <w:t>Krankenhausverlegung unter Kriegsbedingungen: FMEA-gestützte Planung verhinderte alle Sicherheitsereignisse</w:t>
      </w:r>
    </w:p>
    <w:p>
      <w:r>
        <w:rPr>
          <w:i/>
          <w:color w:val="666666"/>
          <w:sz w:val="18"/>
        </w:rPr>
        <w:t>Etzioni T et al.  ·  Isr Med Assoc J  ·  Okt. 2026  ·  PMID 42867093</w:t>
      </w:r>
    </w:p>
    <w:p>
      <w:r>
        <w:t>Prospektive Qualitätsverbesserungsstudie zur Evaluierung eines multidisziplinären FMEA-Ansatzes (Failure Mode and Effects Analysis) zur Unterstützung der sicheren Verlegung von 84 Patienten in eine befestigte unterirdische Einrichtung während des Krieges.</w:t>
      </w:r>
    </w:p>
    <w:p>
      <w:r>
        <w:rPr>
          <w:b/>
        </w:rPr>
        <w:t xml:space="preserve">Ergebnis: </w:t>
      </w:r>
      <w:r>
        <w:t>Während 55 Tagen wurden 843 Patienten in der unterirdischen Einrichtung hospitalisiert. Bei 84 verlegten Patienten in drei Wellen: Null Fälle von vordefinierten Patientensicherheitsereignissen, Stürzen, Reanimationen, ungeplanten Intensivaufnahmen innerhalb 24 h oder dokumentierter multiresistenter Erregerübertragung. Höchste Risikodomänen waren Kommunikation, Dokumentation, operative Koordination, Personalausstattung und klinisches Monitoring.</w:t>
      </w:r>
    </w:p>
    <w:p>
      <w:r>
        <w:rPr>
          <w:b/>
          <w:sz w:val="19"/>
        </w:rPr>
        <w:t xml:space="preserve">Übertragbarkeit: </w:t>
      </w:r>
      <w:r>
        <w:rPr>
          <w:sz w:val="19"/>
        </w:rPr>
        <w:t>Israel; FMEA-Methodik zur Risikominderung ist systematisch auf deutsche Krisenszenarios übertragbar.</w:t>
      </w:r>
    </w:p>
    <w:p>
      <w:r>
        <w:rPr>
          <w:color w:val="5A7D3A"/>
          <w:sz w:val="18"/>
        </w:rPr>
        <w:t>https://pubmed.ncbi.nlm.nih.gov/42867093/</w:t>
      </w:r>
    </w:p>
    <w:p>
      <w:pPr>
        <w:pStyle w:val="Heading2"/>
      </w:pPr>
      <w:r>
        <w:t>Unerwünschte Ereignisse in südkoreanischen Kliniken: 11,3 % der Patienten betroffen</w:t>
      </w:r>
    </w:p>
    <w:p>
      <w:r>
        <w:rPr>
          <w:i/>
          <w:color w:val="666666"/>
          <w:sz w:val="18"/>
        </w:rPr>
        <w:t>Cho DB et al.  ·  J Korean Med Sci  ·  12.10.2026  ·  PMID 42865287</w:t>
      </w:r>
    </w:p>
    <w:p>
      <w:r>
        <w:t>Standardisierte dreistufige Aktennachschau bei 5.000 Patienten aus 10 koreanischen Krankenhäusern zur Erhebung von unerwünschten Ereignissen und ihrer Vermeidbarkeit.</w:t>
      </w:r>
    </w:p>
    <w:p>
      <w:r>
        <w:rPr>
          <w:b/>
        </w:rPr>
        <w:t xml:space="preserve">Ergebnis: </w:t>
      </w:r>
      <w:r>
        <w:t>565 Patienten (11,3 %) mit 612 bestätigten unerwünschten Ereignissen identifiziert; davon 28,3 % als vermeidbar klassifiziert. Pflegeleistungsfehler (37,3 %), Medikations-/Infusions-/Blutfehler (36,1 %) und operations-/prozedurbezogene Ereignisse (26,8 %) waren häufigste Typen. 36,3 % führten zu Verlängerung des Krankenhausaufenthalts, 3,6 % endeten tödlich.</w:t>
      </w:r>
    </w:p>
    <w:p>
      <w:r>
        <w:rPr>
          <w:b/>
          <w:sz w:val="19"/>
        </w:rPr>
        <w:t xml:space="preserve">Übertragbarkeit: </w:t>
      </w:r>
      <w:r>
        <w:rPr>
          <w:sz w:val="19"/>
        </w:rPr>
        <w:t>Südkorea mit vergleichbarem Erfassungsystem; Methode und Fallzahlen für Deutschland relevant.</w:t>
      </w:r>
    </w:p>
    <w:p>
      <w:r>
        <w:rPr>
          <w:color w:val="5A7D3A"/>
          <w:sz w:val="18"/>
        </w:rPr>
        <w:t>https://pubmed.ncbi.nlm.nih.gov/42865287/</w:t>
      </w:r>
    </w:p>
    <w:p>
      <w:pPr>
        <w:pStyle w:val="Heading2"/>
      </w:pPr>
      <w:r>
        <w:t>Fehlermeldesystem: Automatische Erinnerungen erhöhen Absendeqote um 74 %</w:t>
      </w:r>
    </w:p>
    <w:p>
      <w:r>
        <w:rPr>
          <w:i/>
          <w:color w:val="666666"/>
          <w:sz w:val="18"/>
        </w:rPr>
        <w:t>Wang SC  ·  Appl Clin Inform  ·  12.10.2026  ·  PMID 42863845</w:t>
      </w:r>
    </w:p>
    <w:p>
      <w:r>
        <w:t>Retrospektive Log-Analyse von 6.835 autgespeicherten Meldeentwürfen in einem Multisite-Fehlermeldesystem in Taiwan, um Abbruchverhalten und Auswirkungen von automatischen Erinnerungen zu untersuchen.</w:t>
      </w:r>
    </w:p>
    <w:p>
      <w:r>
        <w:rPr>
          <w:b/>
        </w:rPr>
        <w:t xml:space="preserve">Ergebnis: </w:t>
      </w:r>
      <w:r>
        <w:t>79,0 % der 6.835 Entwürfe wurden eingereicht, 18,6 % gelöscht, 2,5 % ausstehend. Mittlere Bearbeitungszeit 15 min. 28,7 % der Entwürfe hatten mindestens einen Rückkehr-Zugriff. Von 1.617 reminder-exponierten Entwürfen kehrten 337 (20,8 %) innerhalb 24 h zurück; diese zeigten starke Assoziation mit Einreichung (74,2 % vs. 19,8 %, aOR 11,16).</w:t>
      </w:r>
    </w:p>
    <w:p>
      <w:r>
        <w:rPr>
          <w:b/>
          <w:sz w:val="19"/>
        </w:rPr>
        <w:t xml:space="preserve">Übertragbarkeit: </w:t>
      </w:r>
      <w:r>
        <w:rPr>
          <w:sz w:val="19"/>
        </w:rPr>
        <w:t>Taiwanisches System; Designprinzipien für Meldesysteme sind systemübergreifend anwendbar.</w:t>
      </w:r>
    </w:p>
    <w:p>
      <w:r>
        <w:rPr>
          <w:color w:val="5A7D3A"/>
          <w:sz w:val="18"/>
        </w:rPr>
        <w:t>https://pubmed.ncbi.nlm.nih.gov/42863845/</w:t>
      </w:r>
    </w:p>
    <w:p>
      <w:pPr>
        <w:pStyle w:val="Heading2"/>
      </w:pPr>
      <w:r>
        <w:t>Radiopharmaka: Kollaborationsmängel zwischen Fachkräften gefährden Patientensicherheit</w:t>
      </w:r>
    </w:p>
    <w:p>
      <w:r>
        <w:rPr>
          <w:i/>
          <w:color w:val="666666"/>
          <w:sz w:val="18"/>
        </w:rPr>
        <w:t>Ramos-Membrive R et al.  ·  Phys Med  ·  24.09.2026  ·  PMID 42785035</w:t>
      </w:r>
    </w:p>
    <w:p>
      <w:r>
        <w:t>Landesweite Befragung von 52 Fachleuten aus 40 spanischen radiopharmakologischen Zentren zur Bewertung von Arbeitsabläufen, Aktivitätsprüfung, Qualitätskontrolle und Strahlensch uz sowie interprofessionellen Diskrepanzen.</w:t>
      </w:r>
    </w:p>
    <w:p>
      <w:r>
        <w:rPr>
          <w:b/>
        </w:rPr>
        <w:t xml:space="preserve">Ergebnis: </w:t>
      </w:r>
      <w:r>
        <w:t>78 % der Zentren führen Radiopharmaka-Herstellung in-house durch. Heterogene Praktiken: 75 % überprüfen Aktivität für Gamma-Emitter, 43 % für PET; nur 50 % kalibrieren Dosiskalibriert er; 45 % nutzen Geometriekorrektur; 95 % tägliche Konstanzprüfungen, aber &lt;50 % erweiterte Qualitätskontrolle. Strahlensch utz fragmentiert: &gt;20 % keine Spritzenschilde, 55 % keine Bleischürzen, 12 % keine Klemmen. 25 von 52 Zentren zeigten interprofessionelle Diskrepanzen.</w:t>
      </w:r>
    </w:p>
    <w:p>
      <w:r>
        <w:rPr>
          <w:b/>
          <w:sz w:val="19"/>
        </w:rPr>
        <w:t xml:space="preserve">Übertragbarkeit: </w:t>
      </w:r>
      <w:r>
        <w:rPr>
          <w:sz w:val="19"/>
        </w:rPr>
        <w:t>Spanien mit vergleichbarem EU-Regulierungssystem; Sicherheitslücken in Radiopharmaka-Praxis auf Deutschland übertragbar.</w:t>
      </w:r>
    </w:p>
    <w:p>
      <w:r>
        <w:rPr>
          <w:color w:val="5A7D3A"/>
          <w:sz w:val="18"/>
        </w:rPr>
        <w:t>https://pubmed.ncbi.nlm.nih.gov/42785035/</w:t>
      </w:r>
    </w:p>
    <w:p>
      <w:pPr>
        <w:pStyle w:val="Heading1"/>
      </w:pPr>
      <w:r>
        <w:t>Aufgenommen am 13.10.2026</w:t>
      </w:r>
    </w:p>
    <w:p>
      <w:pPr>
        <w:pStyle w:val="Heading2"/>
      </w:pPr>
      <w:r>
        <w:t>Elternbeteiligung in Kindersicherheitsinterventionen: systematische Übersicht von 111 Studien</w:t>
      </w:r>
    </w:p>
    <w:p>
      <w:r>
        <w:rPr>
          <w:i/>
          <w:color w:val="666666"/>
          <w:sz w:val="18"/>
        </w:rPr>
        <w:t>Purchase T et al.  ·  Health Expect  ·  Okt. 2026  ·  PMID 42861431</w:t>
      </w:r>
    </w:p>
    <w:p>
      <w:r>
        <w:t>Systematische Übersicht von 111 Studien zur Einbeziehung von Eltern in Sicherheitsinterventionen bei Kindern (Medikation, Kommunikation, Diagnose).</w:t>
      </w:r>
    </w:p>
    <w:p>
      <w:r>
        <w:rPr>
          <w:b/>
        </w:rPr>
        <w:t xml:space="preserve">Ergebnis: </w:t>
      </w:r>
      <w:r>
        <w:t>Interventionen adressierten primär direkte Patientenpflege (97,3%) durch Konsultationen (70,3%), erreichten aber bei Elternbeteiligung im Design und in Forschung nur Informationsstufe (59,5%). 65% der Studien in Sekundärversorgung, 39% experimentelles Design, 50% Fokus auf Medikationssicherheit. Elternengagement blieb inkonsistent und oft unverbindlich ohne Messung echter Sicherheitsergebnisse.</w:t>
      </w:r>
    </w:p>
    <w:p>
      <w:r>
        <w:rPr>
          <w:b/>
          <w:sz w:val="19"/>
        </w:rPr>
        <w:t xml:space="preserve">Übertragbarkeit: </w:t>
      </w:r>
      <w:r>
        <w:rPr>
          <w:sz w:val="19"/>
        </w:rPr>
        <w:t>Großbritannien, vergleichbare Gesundheitssysteme im Fokus; Ansätze übertragbar auf Deutschland</w:t>
      </w:r>
    </w:p>
    <w:p>
      <w:r>
        <w:rPr>
          <w:color w:val="5A7D3A"/>
          <w:sz w:val="18"/>
        </w:rPr>
        <w:t>https://pubmed.ncbi.nlm.nih.gov/42861431/</w:t>
      </w:r>
    </w:p>
    <w:p>
      <w:pPr>
        <w:pStyle w:val="Heading2"/>
      </w:pPr>
      <w:r>
        <w:t>Kaiserschnittinfektionen in Afrika: durchschnittlich 10% mit konsistenten Risikofaktoren</w:t>
      </w:r>
    </w:p>
    <w:p>
      <w:r>
        <w:rPr>
          <w:i/>
          <w:color w:val="666666"/>
          <w:sz w:val="18"/>
        </w:rPr>
        <w:t>Addis M et al.  ·  Womens Health (Lond)  ·  11.10.2026  ·  PMID 42859868</w:t>
      </w:r>
    </w:p>
    <w:p>
      <w:r>
        <w:t>Umbrella Review von 7 systematischen Übersichten mit 71 Primärstudien zu Operationswundinfektionen nach Kaiserschnitt in Afrika (n=61.485).</w:t>
      </w:r>
    </w:p>
    <w:p>
      <w:r>
        <w:rPr>
          <w:b/>
        </w:rPr>
        <w:t xml:space="preserve">Ergebnis: </w:t>
      </w:r>
      <w:r>
        <w:t>Pooled Prävalenz durchgehend um 10%. Konsistente Risikofaktoren: Anämie, Chorioamnionitis, verlängerte Geburt, Blasensprung &gt;18h, vertikale Hautinzision, Allgemeinanästhesie. Fünf Reviews hohe Qualität, zwei mittlere; starke Heterogenität und Methodenlimitationen erkannt.</w:t>
      </w:r>
    </w:p>
    <w:p>
      <w:r>
        <w:rPr>
          <w:b/>
          <w:sz w:val="19"/>
        </w:rPr>
        <w:t xml:space="preserve">Übertragbarkeit: </w:t>
      </w:r>
      <w:r>
        <w:rPr>
          <w:sz w:val="19"/>
        </w:rPr>
        <w:t>Subsahara-Afrika, LMIC-Setting; Konzepte übertragbar, Epidemiologie unterschiedlich von Deutschland</w:t>
      </w:r>
    </w:p>
    <w:p>
      <w:r>
        <w:rPr>
          <w:color w:val="5A7D3A"/>
          <w:sz w:val="18"/>
        </w:rPr>
        <w:t>https://pubmed.ncbi.nlm.nih.gov/42859868/</w:t>
      </w:r>
    </w:p>
    <w:p>
      <w:pPr>
        <w:pStyle w:val="Heading2"/>
      </w:pPr>
      <w:r>
        <w:t>COVID-19 verstärkte Antibiotikaübergebrauch trotz niedriger Koinfektion – Stewardship-Lücke</w:t>
      </w:r>
    </w:p>
    <w:p>
      <w:r>
        <w:rPr>
          <w:i/>
          <w:color w:val="666666"/>
          <w:sz w:val="18"/>
        </w:rPr>
        <w:t>Špelić M et al.  ·  Arh Hig Rada Toksikol  ·  01.09.2026  ·  PMID 42859407</w:t>
      </w:r>
    </w:p>
    <w:p>
      <w:r>
        <w:t>Narrative Übersicht des Verhältnisses zwischen COVID-19, Antibiotikaverbrauch und Resistenzentwicklung mit Fokus auf Stewardship-Interventionen.</w:t>
      </w:r>
    </w:p>
    <w:p>
      <w:r>
        <w:rPr>
          <w:b/>
        </w:rPr>
        <w:t xml:space="preserve">Ergebnis: </w:t>
      </w:r>
      <w:r>
        <w:t>Trotz niedriger bestätigter Koinfektion (unter 50%) blieb Antibiotikaverbrauch unangemessen hoch, besonders früh in Pandemie. Multidisziplinäres Antimicrobial Stewardship, schnelle Diagnostik und Impfung identifiziert als komplementäre Strategien zur Reduktion unnötiger Exposition; One-Health-Ansatz unterstrichen.</w:t>
      </w:r>
    </w:p>
    <w:p>
      <w:r>
        <w:rPr>
          <w:b/>
          <w:sz w:val="19"/>
        </w:rPr>
        <w:t xml:space="preserve">Übertragbarkeit: </w:t>
      </w:r>
      <w:r>
        <w:rPr>
          <w:sz w:val="19"/>
        </w:rPr>
        <w:t>Kroatien, europäischer Kontext; Pandemie-Stewardship-Befunde europäisch übertragbar</w:t>
      </w:r>
    </w:p>
    <w:p>
      <w:r>
        <w:rPr>
          <w:color w:val="5A7D3A"/>
          <w:sz w:val="18"/>
        </w:rPr>
        <w:t>https://pubmed.ncbi.nlm.nih.gov/42859407/</w:t>
      </w:r>
    </w:p>
    <w:p>
      <w:pPr>
        <w:pStyle w:val="Heading2"/>
      </w:pPr>
      <w:r>
        <w:t>5-Faktor-Modell für Staphylococcus-aureus-Sepsis-Mortalität: AUC 0,816</w:t>
      </w:r>
    </w:p>
    <w:p>
      <w:r>
        <w:rPr>
          <w:i/>
          <w:color w:val="666666"/>
          <w:sz w:val="18"/>
        </w:rPr>
        <w:t>Yu Z et al.  ·  Medicine (Baltimore)  ·  09.10.2026  ·  PMID 42854039</w:t>
      </w:r>
    </w:p>
    <w:p>
      <w:r>
        <w:t>Retrospektive Kohortenstudie von 2.221 ICU-Patienten mit bestätigter Bacteriämie zur Identifikation von Faktoren für S.-aureus-BSI und Mortalitätsprognose (MIMIC-IV-Daten).</w:t>
      </w:r>
    </w:p>
    <w:p>
      <w:r>
        <w:rPr>
          <w:b/>
        </w:rPr>
        <w:t xml:space="preserve">Ergebnis: </w:t>
      </w:r>
      <w:r>
        <w:t>297 S.-aureus-BSI (13,4%); nach Matching 26,9% versus 24,2% 28-Tages-Mortalität (kein signifikanter Unterschied). Prognostisches Modell mit 5 Faktoren (Alter, RDW-max, WBC-min, aPTT-min, Albumin-max): AUC 0,816 (95%-KI 0,757–0,870), optimism-corrected 0,804 (0,752–0,861); externe Validierung AUC 0,778 (0,591–0,929).</w:t>
      </w:r>
    </w:p>
    <w:p>
      <w:r>
        <w:rPr>
          <w:b/>
          <w:sz w:val="19"/>
        </w:rPr>
        <w:t xml:space="preserve">Übertragbarkeit: </w:t>
      </w:r>
      <w:r>
        <w:rPr>
          <w:sz w:val="19"/>
        </w:rPr>
        <w:t>USA-ICU-Daten; nur Prognose-Befund ohne Interventionsbezug, begrenzt übertragbar</w:t>
      </w:r>
    </w:p>
    <w:p>
      <w:r>
        <w:rPr>
          <w:color w:val="5A7D3A"/>
          <w:sz w:val="18"/>
        </w:rPr>
        <w:t>https://pubmed.ncbi.nlm.nih.gov/42854039/</w:t>
      </w:r>
    </w:p>
    <w:p>
      <w:pPr>
        <w:pStyle w:val="Heading2"/>
      </w:pPr>
      <w:r>
        <w:t>Zahnwurzel-Desinfektionserfolg hängt von Position ab: apikal/medial 69% Restbakterien</w:t>
      </w:r>
    </w:p>
    <w:p>
      <w:r>
        <w:rPr>
          <w:i/>
          <w:color w:val="666666"/>
          <w:sz w:val="18"/>
        </w:rPr>
        <w:t>Böcher S et al.  ·  Clin Oral Investig  ·  26.08.2026  ·  PMID 42645627</w:t>
      </w:r>
    </w:p>
    <w:p>
      <w:r>
        <w:t>Experimentelle Studie mit 30 menschlichen Zähnen (E.-faecalis-Infektion) zur Bewertung von Desinfektionseffektivität nach Position mittels konfokaler Lasermikroskopie mit LIVE/DEAD-Färbung.</w:t>
      </w:r>
    </w:p>
    <w:p>
      <w:r>
        <w:rPr>
          <w:b/>
        </w:rPr>
        <w:t xml:space="preserve">Ergebnis: </w:t>
      </w:r>
      <w:r>
        <w:t>Wurzelkanalposition war signifikanter Faktor für Bakterienkolonisation und Eradikation (p&lt;0,05), nicht Behandlung oder Sklerosierungsgrad. Restbakterien in bewässerter Zone wahrscheinlicher medial/apikal (OR 2,67–2,74) als koronal: 45,5% koronal, 69,0% medial, 69,6% apikal. Weder Behandlung noch Sonic-Aktivierung signifikant.</w:t>
      </w:r>
    </w:p>
    <w:p>
      <w:r>
        <w:rPr>
          <w:b/>
          <w:sz w:val="19"/>
        </w:rPr>
        <w:t xml:space="preserve">Übertragbarkeit: </w:t>
      </w:r>
      <w:r>
        <w:rPr>
          <w:sz w:val="19"/>
        </w:rPr>
        <w:t>Deutschland (RWTH Aachen), vergleichbare Laborbedingungen; Befund jedoch in vitro ohne Patientenrelevanz</w:t>
      </w:r>
    </w:p>
    <w:p>
      <w:r>
        <w:rPr>
          <w:color w:val="5A7D3A"/>
          <w:sz w:val="18"/>
        </w:rPr>
        <w:t>https://pubmed.ncbi.nlm.nih.gov/42645627/</w:t>
      </w:r>
    </w:p>
    <w:p>
      <w:pPr>
        <w:pStyle w:val="Heading2"/>
      </w:pPr>
      <w:r>
        <w:t>Straßenverkehrssicherheit: Systemansatz stärker als Personenfokus, aber lokale Hemmnisse</w:t>
      </w:r>
    </w:p>
    <w:p>
      <w:r>
        <w:rPr>
          <w:i/>
          <w:color w:val="666666"/>
          <w:sz w:val="18"/>
        </w:rPr>
        <w:t>Staton M et al.  ·  Accid Anal Prev  ·  13.08.2026  ·  PMID 42594689</w:t>
      </w:r>
    </w:p>
    <w:p>
      <w:r>
        <w:t>Qualitative Studie mit 21 Interviews zu Entscheidungsfindung und Beziehungen zwischen Akteuren der Straßenverkehrssicherheit auf kommunaler Ebene (UK).</w:t>
      </w:r>
    </w:p>
    <w:p>
      <w:r>
        <w:rPr>
          <w:b/>
        </w:rPr>
        <w:t xml:space="preserve">Ergebnis: </w:t>
      </w:r>
      <w:r>
        <w:t>Dominanter Ansatz weiterhin personenbasiert statt systemisch; Verantwortungsverlagerung auf lokale Ebene könnte dies verstärken. Schlüsselfaktoren: formale Partnerschaften, Cross-Department-Arbeit, finanzielle Hebel. Vision Zero/Safe-System-Ansatz identifiziert als Facilitation für Systemshift; Siloarbeit, Öffentlichkeit, Lobbying als Barrieren.</w:t>
      </w:r>
    </w:p>
    <w:p>
      <w:r>
        <w:rPr>
          <w:b/>
          <w:sz w:val="19"/>
        </w:rPr>
        <w:t xml:space="preserve">Übertragbarkeit: </w:t>
      </w:r>
      <w:r>
        <w:rPr>
          <w:sz w:val="19"/>
        </w:rPr>
        <w:t>Großbritannien, qualitative Governance-Studie; transferierbare Befunde zu Entscheidungsmechanismen</w:t>
      </w:r>
    </w:p>
    <w:p>
      <w:r>
        <w:rPr>
          <w:color w:val="5A7D3A"/>
          <w:sz w:val="18"/>
        </w:rPr>
        <w:t>https://pubmed.ncbi.nlm.nih.gov/42594689/</w:t>
      </w:r>
    </w:p>
    <w:p>
      <w:pPr>
        <w:pStyle w:val="Heading1"/>
      </w:pPr>
      <w:r>
        <w:t>Aufgenommen am 12.10.2026</w:t>
      </w:r>
    </w:p>
    <w:p>
      <w:pPr>
        <w:pStyle w:val="Heading2"/>
      </w:pPr>
      <w:r>
        <w:t>Nanopartikel-Beschichtung senkte Umgebungskeime auf Intensivstationen um 26,5 %</w:t>
      </w:r>
    </w:p>
    <w:p>
      <w:r>
        <w:rPr>
          <w:i/>
          <w:color w:val="666666"/>
          <w:sz w:val="18"/>
        </w:rPr>
        <w:t>Varma S et al.  ·  J Infect Dev Ctries  ·  30.09.2026  ·  PMID 42858349</w:t>
      </w:r>
    </w:p>
    <w:p>
      <w:r>
        <w:t>Studie an zwei Intensivstationen eines Trauma-Zentrums in Indien verglich die Wirkung einer Titandioxid-Nanopartikel-Beschichtung gegen Routinereinigung.</w:t>
      </w:r>
    </w:p>
    <w:p>
      <w:r>
        <w:rPr>
          <w:b/>
        </w:rPr>
        <w:t xml:space="preserve">Ergebnis: </w:t>
      </w:r>
      <w:r>
        <w:t>Auf der beschichteten Station sanken positive Umweltabstriche um 26,5 %, auf der Kontrollstation stiegen sie um 160,9 % (p = 0,000). Ventilator-assoziierte Pneumonie sank um 72,5 %; zentrale Kathetersepsis und Harnwegsinfektionen stiegen. Die Beschichtung könnte Standardmethoden supplementieren, weitere Studien zur Kosteneffektivität sind erforderlich.</w:t>
      </w:r>
    </w:p>
    <w:p>
      <w:r>
        <w:rPr>
          <w:b/>
          <w:sz w:val="19"/>
        </w:rPr>
        <w:t xml:space="preserve">Übertragbarkeit: </w:t>
      </w:r>
      <w:r>
        <w:rPr>
          <w:sz w:val="19"/>
        </w:rPr>
        <w:t>Indien, Trauma-Zentrum; Übertragbarkeit auf Deutschland begrenzt durch Ressourcenlage, aber Konzept einer zusätzlichen Desinfektionsmassnahme prüfenswert.</w:t>
      </w:r>
    </w:p>
    <w:p>
      <w:r>
        <w:rPr>
          <w:color w:val="5A7D3A"/>
          <w:sz w:val="18"/>
        </w:rPr>
        <w:t>https://pubmed.ncbi.nlm.nih.gov/42858349/</w:t>
      </w:r>
    </w:p>
    <w:p>
      <w:pPr>
        <w:pStyle w:val="Heading2"/>
      </w:pPr>
      <w:r>
        <w:t>Händehygiene-Compliance während COVID-19 stieg auf 33,1 %, fiel danach auf 14,7 %</w:t>
      </w:r>
    </w:p>
    <w:p>
      <w:r>
        <w:rPr>
          <w:i/>
          <w:color w:val="666666"/>
          <w:sz w:val="18"/>
        </w:rPr>
        <w:t>Mlouki I et al.  ·  J Infect Dev Ctries  ·  30.09.2026  ·  PMID 42858347</w:t>
      </w:r>
    </w:p>
    <w:p>
      <w:r>
        <w:t>Beobachtungsstudie an einem tunesischen Universitätsklinikum analysierte Trends in der Händehygiene-Compliance von 2020 bis 2023 unter Gesundheitspersonal.</w:t>
      </w:r>
    </w:p>
    <w:p>
      <w:r>
        <w:rPr>
          <w:b/>
        </w:rPr>
        <w:t xml:space="preserve">Ergebnis: </w:t>
      </w:r>
      <w:r>
        <w:t>Von 993 dokumentierten Handhygiene-Gelegenheiten: Gesamtcompliance 22,1 %, mit Gipfel 33,1 % im Jahr 2022 und Rückfall auf 14,7 % im Jahr 2023. Nach Patientenkontakt höher (28,4 % vs. 39 %, p = 0,08). Compliance in Hochrisiko-Abteilungen und bei invasiven Verfahren besser. Kontinuierliche Überwachung und institutionelle Unterstützung notwendig, um Rückfälle zu verhindern.</w:t>
      </w:r>
    </w:p>
    <w:p>
      <w:r>
        <w:rPr>
          <w:b/>
          <w:sz w:val="19"/>
        </w:rPr>
        <w:t xml:space="preserve">Übertragbarkeit: </w:t>
      </w:r>
      <w:r>
        <w:rPr>
          <w:sz w:val="19"/>
        </w:rPr>
        <w:t>Tunesien; ähnliche Herausforderungen bei Nachhaltigkeitsdefizit wie in Mitteleuropa, braucht aber Kontext lokaler Ressourcen.</w:t>
      </w:r>
    </w:p>
    <w:p>
      <w:r>
        <w:rPr>
          <w:color w:val="5A7D3A"/>
          <w:sz w:val="18"/>
        </w:rPr>
        <w:t>https://pubmed.ncbi.nlm.nih.gov/42858347/</w:t>
      </w:r>
    </w:p>
    <w:p>
      <w:pPr>
        <w:pStyle w:val="Heading2"/>
      </w:pPr>
      <w:r>
        <w:t>Breispektrum-Antibiotika verdreifachten sich bei CRE-Blutstrominfektionen während COVID-19</w:t>
      </w:r>
    </w:p>
    <w:p>
      <w:r>
        <w:rPr>
          <w:i/>
          <w:color w:val="666666"/>
          <w:sz w:val="18"/>
        </w:rPr>
        <w:t>Xu L et al.  ·  J Infect Dev Ctries  ·  30.09.2026  ·  PMID 42858345</w:t>
      </w:r>
    </w:p>
    <w:p>
      <w:r>
        <w:t>Retrospektive Kohortenstudie in China untersuchte die Auswirkung der COVID-19-Pandemie auf Häufigkeit carbapenem-resistenter Enterobacteriaceae-Blutstrominfektionen und Antibiotikaverbrauch.</w:t>
      </w:r>
    </w:p>
    <w:p>
      <w:r>
        <w:rPr>
          <w:b/>
        </w:rPr>
        <w:t xml:space="preserve">Ergebnis: </w:t>
      </w:r>
      <w:r>
        <w:t>184 CRE-BSI-Fälle über drei Zeiträume; CRE-BSI-Raten stabil (7,81 bis 9,63 pro 100.000 Hospitalisierungstage). Antibiotikaverbrauch stieg signifikant (p &lt; 0,001), Cephalosporine-Nutzung bei CRE-Patienten um 50 % erhöht. Carbapenem-Resistenzrate 18,6–19,0 % ohne signifikante Unterschiede. Breite Antibiotika-Eskalation war nicht gerechtfertigt und trägt zur Resistenzentwicklung bei.</w:t>
      </w:r>
    </w:p>
    <w:p>
      <w:r>
        <w:rPr>
          <w:b/>
          <w:sz w:val="19"/>
        </w:rPr>
        <w:t xml:space="preserve">Übertragbarkeit: </w:t>
      </w:r>
      <w:r>
        <w:rPr>
          <w:sz w:val="19"/>
        </w:rPr>
        <w:t>China, einzelnes Zentrum; zeigt Stewardship-Versäumnisse, die typisch für Pandemie-Krisen auch in Deutschland auftraten.</w:t>
      </w:r>
    </w:p>
    <w:p>
      <w:r>
        <w:rPr>
          <w:color w:val="5A7D3A"/>
          <w:sz w:val="18"/>
        </w:rPr>
        <w:t>https://pubmed.ncbi.nlm.nih.gov/42858345/</w:t>
      </w:r>
    </w:p>
    <w:p>
      <w:pPr>
        <w:pStyle w:val="Heading2"/>
      </w:pPr>
      <w:r>
        <w:t>Chinesischer Expertenkonsens: Risikomanagement im klinisch-pathologischen Labor – acht Schlüsselfragen beantwortet</w:t>
      </w:r>
    </w:p>
    <w:p>
      <w:r>
        <w:rPr>
          <w:i/>
          <w:color w:val="666666"/>
          <w:sz w:val="18"/>
        </w:rPr>
        <w:t>Quality and Competency Management Group, Professional Committee of Tumor Pathology, China Anti-Cancer Association  ·  Zhonghua Bing Li Xue Za Zhi  ·  08.10.2026  ·  PMID 42851194</w:t>
      </w:r>
    </w:p>
    <w:p>
      <w:r>
        <w:t>Strukturierter Konsens der Chinese Anti-Cancer Association zur systematischen Risikoidenti­fizierung, -bewertung und -kontrolle in klinisch-pathologischen Laboratorien, basierend auf ISO- und CNAS-Standards.</w:t>
      </w:r>
    </w:p>
    <w:p>
      <w:r>
        <w:rPr>
          <w:b/>
        </w:rPr>
        <w:t xml:space="preserve">Ergebnis: </w:t>
      </w:r>
      <w:r>
        <w:t>Der Konsens adressiert acht klinische Fragen; definiert Risiko-Dimensionen: technische Operationen, biologische Sicherheit, Datenmanagement, Qualitätskontrolle. Kernprinzipien: Patientensicherheit und Diagnosequalität als Leitziel, strukturierte Risikopfade (Identifikation, Bewertung, Kontrolle, kontinuierliche Verbesserung). Praktische Managementmassnahmen für Pathologie-Labore etabliert. Ziel: Anhebung des Risiko-Bewusstseins und Optimierung der Ressourcen-Allokation.</w:t>
      </w:r>
    </w:p>
    <w:p>
      <w:r>
        <w:rPr>
          <w:b/>
          <w:sz w:val="19"/>
        </w:rPr>
        <w:t xml:space="preserve">Übertragbarkeit: </w:t>
      </w:r>
      <w:r>
        <w:rPr>
          <w:sz w:val="19"/>
        </w:rPr>
        <w:t>China, aber ISO-Standards und CNAS-Kriterien international gültig; Konsens-Methodik übertragbar auf deutsche Laboratorien nach RiliBÄK.</w:t>
      </w:r>
    </w:p>
    <w:p>
      <w:r>
        <w:rPr>
          <w:color w:val="5A7D3A"/>
          <w:sz w:val="18"/>
        </w:rPr>
        <w:t>https://pubmed.ncbi.nlm.nih.gov/42851194/</w:t>
      </w:r>
    </w:p>
    <w:p>
      <w:pPr>
        <w:pStyle w:val="Heading2"/>
      </w:pPr>
      <w:r>
        <w:t>JAAM-DIC-Score: Sensitivität 81,5 % zur Vorhersage von 28-Tage-Mortalität bei Sepsis-Koagulopathie</w:t>
      </w:r>
    </w:p>
    <w:p>
      <w:r>
        <w:rPr>
          <w:i/>
          <w:color w:val="666666"/>
          <w:sz w:val="18"/>
        </w:rPr>
        <w:t>Hannan M et al.  ·  J Coll Physicians Surg Pak  ·  Okt. 2026  ·  PMID 42851092</w:t>
      </w:r>
    </w:p>
    <w:p>
      <w:r>
        <w:t>Prospektive analytische Studie mit 150 Sepsis-Patienten auf einer Intensivstation in Pakistan evaluierte die Vorhersagekraft des JAAM-DIC-Scores für 28-Tage-Mortalität.</w:t>
      </w:r>
    </w:p>
    <w:p>
      <w:r>
        <w:rPr>
          <w:b/>
        </w:rPr>
        <w:t xml:space="preserve">Ergebnis: </w:t>
      </w:r>
      <w:r>
        <w:t>72 Patienten (48,0 %) mit JAAM-DIC-Score ≥4. 28-Tage-Mortalität 43,3 % (65 Todesfälle). JAAM-DIC: Sensitivität 81,5 %, Spezifität 77,6 %, PPV 73,6 %, NPV 84,6 %, diagnostische Genauigkeit 79,3 %. Score war durchführbar zur Risiko­stratifizierung von hochriskanten septischen Patienten mit DIC.</w:t>
      </w:r>
    </w:p>
    <w:p>
      <w:r>
        <w:rPr>
          <w:b/>
          <w:sz w:val="19"/>
        </w:rPr>
        <w:t xml:space="preserve">Übertragbarkeit: </w:t>
      </w:r>
      <w:r>
        <w:rPr>
          <w:sz w:val="19"/>
        </w:rPr>
        <w:t>Pakistan, Intensivmedizin; Score-Validierung international, deutsches Sepsis-Management würde ähnlich profitieren.</w:t>
      </w:r>
    </w:p>
    <w:p>
      <w:r>
        <w:rPr>
          <w:color w:val="5A7D3A"/>
          <w:sz w:val="18"/>
        </w:rPr>
        <w:t>https://pubmed.ncbi.nlm.nih.gov/42851092/</w:t>
      </w:r>
    </w:p>
    <w:p>
      <w:pPr>
        <w:pStyle w:val="Heading2"/>
      </w:pPr>
      <w:r>
        <w:t>SOFA-Score vorhersagekräftiger als Biomarker für Sepsis-Mortalität auf ländlicher Intensivstation</w:t>
      </w:r>
    </w:p>
    <w:p>
      <w:r>
        <w:rPr>
          <w:i/>
          <w:color w:val="666666"/>
          <w:sz w:val="18"/>
        </w:rPr>
        <w:t>Reddy H et al.  ·  Clin Lab  ·  01.10.2026  ·  PMID 42847956</w:t>
      </w:r>
    </w:p>
    <w:p>
      <w:r>
        <w:t>Querschnittsstudie mit 300 Patienten auf einer ländlichen Intensivstation in Indien verglich kritische Scores und Biomarker zur Prognose von Sepsis-Mortalität und Beatmungsbedarf.</w:t>
      </w:r>
    </w:p>
    <w:p>
      <w:r>
        <w:rPr>
          <w:b/>
        </w:rPr>
        <w:t xml:space="preserve">Ergebnis: </w:t>
      </w:r>
      <w:r>
        <w:t>SOFA mit Cutoff ≥9 beste Vorhersage (OR: 2,98, p &lt; 0,001, Sensitivität 94 %, Spezifität 86 %). APACHE IV (Cutoff &gt;71, AUC 0,840) und NLPR (Cutoff &gt;3,1, AUC 0,716) signifikant. PaO₂/FiO₂ negativ korreliert mit Mortalität (OR 0,022, p &lt; 0,001) und Beatmungsbedarf. 70 Todesfälle in der Kohorte. In ressourcenlimitierten Umgebungen ist NLPR pragmatische Alternative.</w:t>
      </w:r>
    </w:p>
    <w:p>
      <w:r>
        <w:rPr>
          <w:b/>
          <w:sz w:val="19"/>
        </w:rPr>
        <w:t xml:space="preserve">Übertragbarkeit: </w:t>
      </w:r>
      <w:r>
        <w:rPr>
          <w:sz w:val="19"/>
        </w:rPr>
        <w:t>Indien, ländliches Setting; SOFA-Überlegenheit aber auch in deutschen Zentren mit besseren Ressourcen etabliert.</w:t>
      </w:r>
    </w:p>
    <w:p>
      <w:r>
        <w:rPr>
          <w:color w:val="5A7D3A"/>
          <w:sz w:val="18"/>
        </w:rPr>
        <w:t>https://pubmed.ncbi.nlm.nih.gov/42847956/</w:t>
      </w:r>
    </w:p>
    <w:p>
      <w:pPr>
        <w:pStyle w:val="Heading2"/>
      </w:pPr>
      <w:r>
        <w:t>Pichia-kudriavzevii-Ausbruch über sechs Krankenhäuser hinweg, ein Stamm seit 1935 nachweisbar</w:t>
      </w:r>
    </w:p>
    <w:p>
      <w:r>
        <w:rPr>
          <w:i/>
          <w:color w:val="666666"/>
          <w:sz w:val="18"/>
        </w:rPr>
        <w:t>Spruijtenburg B et al.  ·  Med Mycol  ·  05.08.2026  ·  PMID 42560405</w:t>
      </w:r>
    </w:p>
    <w:p>
      <w:r>
        <w:t>Molekularepidemiologische Studie mit Kurzsequenz-Wiederholungs-Genotypisierung von 106 Pichia-kudriavzevii-Isolaten aus Indien zeigte nosokomialen Transmissionsmustern und einen global verbreiteten Stamm.</w:t>
      </w:r>
    </w:p>
    <w:p>
      <w:r>
        <w:rPr>
          <w:b/>
        </w:rPr>
        <w:t xml:space="preserve">Ergebnis: </w:t>
      </w:r>
      <w:r>
        <w:t>52 unterschiedliche Genotypen plus fünf Cluster (zwei bis 22 Isolate). Ein Multizentrums-Cluster umfasste sechs Krankenhäuser; derselbe Stamm identisch mit iranischen Isolaten und verwandt mit niederländischen und sri-lankischen Isolaten (letzte seit 1935). Fluconazol-Resistenz intrinsisch. Befund deuten auf erhöhtes Transmissionspotenzial und Fitness-Vorteil eines Stamms hin.</w:t>
      </w:r>
    </w:p>
    <w:p>
      <w:r>
        <w:rPr>
          <w:b/>
          <w:sz w:val="19"/>
        </w:rPr>
        <w:t xml:space="preserve">Übertragbarkeit: </w:t>
      </w:r>
      <w:r>
        <w:rPr>
          <w:sz w:val="19"/>
        </w:rPr>
        <w:t>Indien; zeigt grenzüberschreitende nosokomiale Transmission, unterstreicht Surveillance-Notwendigkeit auch in Deutschland.</w:t>
      </w:r>
    </w:p>
    <w:p>
      <w:r>
        <w:rPr>
          <w:color w:val="5A7D3A"/>
          <w:sz w:val="18"/>
        </w:rPr>
        <w:t>https://pubmed.ncbi.nlm.nih.gov/42560405/</w:t>
      </w:r>
    </w:p>
    <w:p>
      <w:pPr>
        <w:pStyle w:val="Heading1"/>
      </w:pPr>
      <w:r>
        <w:t>Aufgenommen am 11.10.2026</w:t>
      </w:r>
    </w:p>
    <w:p>
      <w:pPr>
        <w:pStyle w:val="Heading2"/>
      </w:pPr>
      <w:r>
        <w:t>Deprescribing-Leitlinie für ältere Erwachsene reduziert potentiell unangemessene Medikamente</w:t>
      </w:r>
    </w:p>
    <w:p>
      <w:r>
        <w:rPr>
          <w:i/>
          <w:color w:val="666666"/>
          <w:sz w:val="18"/>
        </w:rPr>
        <w:t>Tian F et al.  ·  BMC Geriatr  ·  21.09.2026  ·  PMID 42855669</w:t>
      </w:r>
    </w:p>
    <w:p>
      <w:r>
        <w:t>Chinesische Fachgruppe entwickelte evidenzbasierte Richtlinie für De-Verschreibung potentiell unangemessener Medikamente (PIM) bei älteren Erwachsenen mit standardisiertem ORDER-Prozess (fünf Schritte) und Delphi-Konsens.</w:t>
      </w:r>
    </w:p>
    <w:p>
      <w:r>
        <w:rPr>
          <w:b/>
        </w:rPr>
        <w:t xml:space="preserve">Ergebnis: </w:t>
      </w:r>
      <w:r>
        <w:t>Neue Leitlinie ORDER (organize, medication review, develop plan, execute, realize feedback) als erstes standardisiertes Chinas-Protokoll für PIM-Management. Multidisziplinäres Modell mit Patientenbeteiligung; 15 Aspekte für deprescribing-Empfehlungen entwickelt. Konkrete Machbarkeit und Priorisierung von PIM empfohlen.</w:t>
      </w:r>
    </w:p>
    <w:p>
      <w:r>
        <w:rPr>
          <w:b/>
          <w:sz w:val="19"/>
        </w:rPr>
        <w:t xml:space="preserve">Übertragbarkeit: </w:t>
      </w:r>
      <w:r>
        <w:rPr>
          <w:sz w:val="19"/>
        </w:rPr>
        <w:t>China, aber Medication-Safety-Grundprinzipien international übertragbar, deutsche Geriatrie-Leitlinien ähnlich strukturiert</w:t>
      </w:r>
    </w:p>
    <w:p>
      <w:r>
        <w:rPr>
          <w:color w:val="5A7D3A"/>
          <w:sz w:val="18"/>
        </w:rPr>
        <w:t>https://pubmed.ncbi.nlm.nih.gov/42855669/</w:t>
      </w:r>
    </w:p>
    <w:p>
      <w:pPr>
        <w:pStyle w:val="Heading2"/>
      </w:pPr>
      <w:r>
        <w:t>Ethische Haltung von Notfallteams schwach assoziiert mit Bewusstsein für Kunstfehlerhaftung</w:t>
      </w:r>
    </w:p>
    <w:p>
      <w:r>
        <w:rPr>
          <w:i/>
          <w:color w:val="666666"/>
          <w:sz w:val="18"/>
        </w:rPr>
        <w:t>Degirmenci S et al.  ·  Medicine (Baltimore)  ·  09.10.2026  ·  PMID 42854010</w:t>
      </w:r>
    </w:p>
    <w:p>
      <w:r>
        <w:t>Türkische Querschnittsstudie an 397 Notfall-Fachpersonen entwickelte Skala für ethischen Zugang zu psychiatrischen Patienten in Notfallkontexten und prüfte Assoziation mit Bewusstsein für Kunstfehlerhaftungsrisiko.</w:t>
      </w:r>
    </w:p>
    <w:p>
      <w:r>
        <w:rPr>
          <w:b/>
        </w:rPr>
        <w:t xml:space="preserve">Ergebnis: </w:t>
      </w:r>
      <w:r>
        <w:t>Angepasste 16-Item-Skala für ethischen Zugang validiert. Kunstfehlerhaftungsrisiko-Bewusstsein unterschied sich signifikant nach Geschlecht, Beruf, Einkommen, Schulung und Kunstfehler-Erlebnis. Ethische Zugangsskala zeigte statistisch signifikante, aber schwache Assoziation (1,5% erklärte Varianz) mit Kunstfehler-Bewusstsein.</w:t>
      </w:r>
    </w:p>
    <w:p>
      <w:r>
        <w:rPr>
          <w:b/>
          <w:sz w:val="19"/>
        </w:rPr>
        <w:t xml:space="preserve">Übertragbarkeit: </w:t>
      </w:r>
      <w:r>
        <w:rPr>
          <w:sz w:val="19"/>
        </w:rPr>
        <w:t>Türkei, Notfall-Sicherheitskultur, aber Ethik-Kunstfehler-Nexus international relevant</w:t>
      </w:r>
    </w:p>
    <w:p>
      <w:r>
        <w:rPr>
          <w:color w:val="5A7D3A"/>
          <w:sz w:val="18"/>
        </w:rPr>
        <w:t>https://pubmed.ncbi.nlm.nih.gov/42854010/</w:t>
      </w:r>
    </w:p>
    <w:p>
      <w:pPr>
        <w:pStyle w:val="Heading2"/>
      </w:pPr>
      <w:r>
        <w:t>Laborbasiertes Prognose-Nomogramm stratifiziert Sepsis-Patienten früh nach Mortalitätsrisiko</w:t>
      </w:r>
    </w:p>
    <w:p>
      <w:r>
        <w:rPr>
          <w:i/>
          <w:color w:val="666666"/>
          <w:sz w:val="18"/>
        </w:rPr>
        <w:t>Shu M et al.  ·  Lab Med  ·  05.10.2026  ·  PMID 42853634</w:t>
      </w:r>
    </w:p>
    <w:p>
      <w:r>
        <w:t>Entwicklung und Validierung eines LASSO-basierten Nomogramms zur Früh-Risikostratifikation bei Sepsis mit Laborparametern (SOFA, GCS, Harnstoff, IL-6).</w:t>
      </w:r>
    </w:p>
    <w:p>
      <w:r>
        <w:rPr>
          <w:b/>
        </w:rPr>
        <w:t xml:space="preserve">Ergebnis: </w:t>
      </w:r>
      <w:r>
        <w:t>Concordance-Index 0,806 (Training) und 0,889 (Validierung); Sensitivität/Spezifität 85,0%/68,8% (Training) und 87,9%/86,7% (Validierung). SOFA-Score (OR 1,271), GCS (OR 0,807), Serumurea (OR 1,097), IL-6 (OR 1,001) als unabhängige Prognose-Faktoren. Kalibrierungskurven zeigen gute Übereinstimmung.</w:t>
      </w:r>
    </w:p>
    <w:p>
      <w:r>
        <w:rPr>
          <w:b/>
          <w:sz w:val="19"/>
        </w:rPr>
        <w:t xml:space="preserve">Übertragbarkeit: </w:t>
      </w:r>
      <w:r>
        <w:rPr>
          <w:sz w:val="19"/>
        </w:rPr>
        <w:t>China, aber Sepsis-Biomarker und Prognose-Validierungsprinzipien global anwendbar</w:t>
      </w:r>
    </w:p>
    <w:p>
      <w:r>
        <w:rPr>
          <w:color w:val="5A7D3A"/>
          <w:sz w:val="18"/>
        </w:rPr>
        <w:t>https://pubmed.ncbi.nlm.nih.gov/42853634/</w:t>
      </w:r>
    </w:p>
    <w:p>
      <w:pPr>
        <w:pStyle w:val="Heading2"/>
      </w:pPr>
      <w:r>
        <w:t>Sepsis-Coagulopathie: Trajektorien vorhersagen Mortalität und Heparineffekt</w:t>
      </w:r>
    </w:p>
    <w:p>
      <w:r>
        <w:rPr>
          <w:i/>
          <w:color w:val="666666"/>
          <w:sz w:val="18"/>
        </w:rPr>
        <w:t>Cao Y et al.  ·  Front Cell Infect Microbiol  ·  24.09.2026  ·  PMID 42851353</w:t>
      </w:r>
    </w:p>
    <w:p>
      <w:r>
        <w:t>Multizenterstudie an 20.168 ICU-Patienten mit Sepsis-induzierter Coagulopathie (SIC), die drei Verlaufsmuster identifizierte und deren Assoziation mit 28-Tage-Mortalität sowie Wirksamkeit prophylaktischer Heparingabe evaluierte.</w:t>
      </w:r>
    </w:p>
    <w:p>
      <w:r>
        <w:rPr>
          <w:b/>
        </w:rPr>
        <w:t xml:space="preserve">Ergebnis: </w:t>
      </w:r>
      <w:r>
        <w:t>Drei SIC-Trajektorien: persistierend erhöht (31,9%), ansteigend-dann-fallend (10,6%), resolvent (57,5%). Persistierend erhöhte Trajektorie zeigte adjustierte Subdistribution-Hazard-Ratio 1,65 (95%-KI 1,52–1,78) für Mortalität vs. resolvent. Prophylaktisches Heparin assoziiert mit reduzierter Post-Landmark-Mortalität in MIMIC-IV (sHR 0,908, p=0,018), nicht repliziert in eICU-CRD (p=0,118).</w:t>
      </w:r>
    </w:p>
    <w:p>
      <w:r>
        <w:rPr>
          <w:b/>
          <w:sz w:val="19"/>
        </w:rPr>
        <w:t xml:space="preserve">Übertragbarkeit: </w:t>
      </w:r>
      <w:r>
        <w:rPr>
          <w:sz w:val="19"/>
        </w:rPr>
        <w:t>Multinationale ICU-Daten, sepsis-relevantes Treatment-Outcome, Translatierbarkeit begrenzt durch unterschiedliche Erkrankungsschwere</w:t>
      </w:r>
    </w:p>
    <w:p>
      <w:r>
        <w:rPr>
          <w:color w:val="5A7D3A"/>
          <w:sz w:val="18"/>
        </w:rPr>
        <w:t>https://pubmed.ncbi.nlm.nih.gov/42851353/</w:t>
      </w:r>
    </w:p>
    <w:p>
      <w:pPr>
        <w:pStyle w:val="Heading2"/>
      </w:pPr>
      <w:r>
        <w:t>Persistenter Ausbruch von Carbapenem-resistentem Acinetobacter baumannii trotz Standard-Infektionsprävention</w:t>
      </w:r>
    </w:p>
    <w:p>
      <w:r>
        <w:rPr>
          <w:i/>
          <w:color w:val="666666"/>
          <w:sz w:val="18"/>
        </w:rPr>
        <w:t>Sourenian T et al.  ·  Front Cell Infect Microbiol  ·  24.09.2026  ·  PMID 42851326</w:t>
      </w:r>
    </w:p>
    <w:p>
      <w:r>
        <w:t>Outbreak-Untersuchung von 13 XDR-Acinetobacter-baumannii-Stämmen (ST2) in libanesischer ICU mit molekularer Genotypisierung, die zwei nosokomial übertragene Cluster und Übertragungs-Potenzial nachweisen.</w:t>
      </w:r>
    </w:p>
    <w:p>
      <w:r>
        <w:rPr>
          <w:b/>
        </w:rPr>
        <w:t xml:space="preserve">Ergebnis: </w:t>
      </w:r>
      <w:r>
        <w:t>Alle Isolate blaOXA-23 chromosomal; 52 Genotypen und fünf Cluster identifiziert (vier auf einzelne Kliniken begrenzt, ein Cluster über sechs Kliniken). Größter Cluster mit iranischen, niederländischen und Sri-Lanka-Isolaten verwandt. SNP-Analyse bestätigt hohe Diskriminationsfähigkeit. Fortgesetzte Zirkulation trotz konventioneller Infektionsprävention zeigt erhöhtes Transmissionspotenzial dieser Linie.</w:t>
      </w:r>
    </w:p>
    <w:p>
      <w:r>
        <w:rPr>
          <w:b/>
          <w:sz w:val="19"/>
        </w:rPr>
        <w:t xml:space="preserve">Übertragbarkeit: </w:t>
      </w:r>
      <w:r>
        <w:rPr>
          <w:sz w:val="19"/>
        </w:rPr>
        <w:t>Libanon, aber Carbapenem-Resistenz-Management und ICU-Hygiene-Struktur in Deutschland hochrelevant</w:t>
      </w:r>
    </w:p>
    <w:p>
      <w:r>
        <w:rPr>
          <w:color w:val="5A7D3A"/>
          <w:sz w:val="18"/>
        </w:rPr>
        <w:t>https://pubmed.ncbi.nlm.nih.gov/42851326/</w:t>
      </w:r>
    </w:p>
    <w:p>
      <w:pPr>
        <w:pStyle w:val="Heading2"/>
      </w:pPr>
      <w:r>
        <w:t>Umleitung von Nicht-Notfall-Patienten aus der Notaufnahme in Hausarztpraxen ist sicher</w:t>
      </w:r>
    </w:p>
    <w:p>
      <w:r>
        <w:rPr>
          <w:i/>
          <w:color w:val="666666"/>
          <w:sz w:val="18"/>
        </w:rPr>
        <w:t>Alsulami W et al.  ·  Emerg Med Australas  ·  Okt. 2026  ·  PMID 42851122</w:t>
      </w:r>
    </w:p>
    <w:p>
      <w:r>
        <w:t>Scoping Review von neun Studien zur Sicherheit und Verfahrenskomponenten beim Umleiten von Nicht-Notfall-Patienten von Notaufnahmen in die Primärversorgung.</w:t>
      </w:r>
    </w:p>
    <w:p>
      <w:r>
        <w:rPr>
          <w:b/>
        </w:rPr>
        <w:t xml:space="preserve">Ergebnis: </w:t>
      </w:r>
      <w:r>
        <w:t>9,7% Rückkehrquote, 1,7% Hospitalisierungsrate, 0,07% Mortalität. Studien mit null Hospitalisierungen und Todesfällen implementierten mehrere Komponenten (Dokumentation Beschwerde, Registrierung, Vitalzeichen, Triage). Umleitung erscheint sicher und akzeptabel bei klaren Kriterien, Evidenz aber begrenzt.</w:t>
      </w:r>
    </w:p>
    <w:p>
      <w:r>
        <w:rPr>
          <w:b/>
          <w:sz w:val="19"/>
        </w:rPr>
        <w:t xml:space="preserve">Übertragbarkeit: </w:t>
      </w:r>
      <w:r>
        <w:rPr>
          <w:sz w:val="19"/>
        </w:rPr>
        <w:t>Australien und Vereinigtes Königreich, vergleichbare ED-Versorgungsstruktur und Patientensicherheitsansätze</w:t>
      </w:r>
    </w:p>
    <w:p>
      <w:r>
        <w:rPr>
          <w:color w:val="5A7D3A"/>
          <w:sz w:val="18"/>
        </w:rPr>
        <w:t>https://pubmed.ncbi.nlm.nih.gov/42851122/</w:t>
      </w:r>
    </w:p>
    <w:p>
      <w:pPr>
        <w:pStyle w:val="Heading1"/>
      </w:pPr>
      <w:r>
        <w:t>Aufgenommen am 10.10.2026</w:t>
      </w:r>
    </w:p>
    <w:p>
      <w:pPr>
        <w:pStyle w:val="Heading2"/>
      </w:pPr>
      <w:r>
        <w:t>Digitale Bestellsysteme senken Dokumentationsfehler bei Notfall-zu-ITS-Übergängen um 46 %</w:t>
      </w:r>
    </w:p>
    <w:p>
      <w:r>
        <w:rPr>
          <w:i/>
          <w:color w:val="666666"/>
          <w:sz w:val="18"/>
        </w:rPr>
        <w:t>Chien DK et al.  ·  JMIR Form Res  ·  09.10.2026  ·  PMID 42854259</w:t>
      </w:r>
    </w:p>
    <w:p>
      <w:r>
        <w:t>Retrospektive vergleichende Evaluierung eines aktualisierten digitalen Bestellsystems für Notfall-zu-Intensivmedizin-Aufnahmen (2023 vs. 2024) an einem Tertium-Zentrum in Taiwan.</w:t>
      </w:r>
    </w:p>
    <w:p>
      <w:r>
        <w:rPr>
          <w:b/>
        </w:rPr>
        <w:t xml:space="preserve">Ergebnis: </w:t>
      </w:r>
      <w:r>
        <w:t>Aktualisiertes System assoziiert mit höherer Bestellgültigkeit (54,1 % → 75,4 %; RR 1,39, KI 1,25–1,54, p &lt; 0,001), niedrigerer Fehlerquote (45,9 % → 24,6 %; RR 0,54, KI 0,44–0,66, p &lt; 0,001); doppelte und verlorene Aufträge sanken; ITS-Reservierungsalignment verbessert sich (Verhältnis 0,68 → 0,78, p = 0,03). Strukturierte, zeitstempel-gesteuerte Infrastruktur unterstützt zuverlässigere Hochrisiko-Workflows.</w:t>
      </w:r>
    </w:p>
    <w:p>
      <w:r>
        <w:rPr>
          <w:b/>
          <w:sz w:val="19"/>
        </w:rPr>
        <w:t xml:space="preserve">Übertragbarkeit: </w:t>
      </w:r>
      <w:r>
        <w:rPr>
          <w:sz w:val="19"/>
        </w:rPr>
        <w:t>Taiwan - Elektronische Order-Standardisierung übertragbar auf deutsches Kliniksetting mit vergleichbaren Workflows</w:t>
      </w:r>
    </w:p>
    <w:p>
      <w:r>
        <w:rPr>
          <w:color w:val="5A7D3A"/>
          <w:sz w:val="18"/>
        </w:rPr>
        <w:t>https://pubmed.ncbi.nlm.nih.gov/42854259/</w:t>
      </w:r>
    </w:p>
    <w:p>
      <w:pPr>
        <w:pStyle w:val="Heading2"/>
      </w:pPr>
      <w:r>
        <w:t>Nosokomialer Ausbruch durch kontaminierte Infusionslösungen: 16 Fälle in sieben deutschen Kliniken</w:t>
      </w:r>
    </w:p>
    <w:p>
      <w:r>
        <w:rPr>
          <w:i/>
          <w:color w:val="666666"/>
          <w:sz w:val="18"/>
        </w:rPr>
        <w:t>Burdi S et al.  ·  Euro Surveill  ·  Okt. 2026  ·  PMID 42852523</w:t>
      </w:r>
    </w:p>
    <w:p>
      <w:r>
        <w:t>Untersuchung eines Ausbruchs von Ralstonia mannitolilytica-Bacteriämien in deutschen Krankenhäusern von März bis September 2026, der auf kontaminierte vorgefüllte Kochsalzspritzen zurückgeführt wurde.</w:t>
      </w:r>
    </w:p>
    <w:p>
      <w:r>
        <w:rPr>
          <w:b/>
        </w:rPr>
        <w:t xml:space="preserve">Ergebnis: </w:t>
      </w:r>
      <w:r>
        <w:t>16 Fälle mit ≤6 Allel-Unterschieden in sieben Kliniken identifiziert; Produktions- und Verteilungsfehler eines Herstellers als Quelle bestätigt; Quarantäne und Nutzungsstopp des Produkts eingeleitet. Die Rückverfolgung zeigt, dass solche nosokomialen Ausbrüche auch durch systematische Beschaffungsfehler entstehen.</w:t>
      </w:r>
    </w:p>
    <w:p>
      <w:r>
        <w:rPr>
          <w:b/>
          <w:sz w:val="19"/>
        </w:rPr>
        <w:t xml:space="preserve">Übertragbarkeit: </w:t>
      </w:r>
      <w:r>
        <w:rPr>
          <w:sz w:val="19"/>
        </w:rPr>
        <w:t>Deutsche Klinikdaten, vergleichbare Hygienestandards und Meldepflichten nach IfSG</w:t>
      </w:r>
    </w:p>
    <w:p>
      <w:r>
        <w:rPr>
          <w:color w:val="5A7D3A"/>
          <w:sz w:val="18"/>
        </w:rPr>
        <w:t>https://pubmed.ncbi.nlm.nih.gov/42852523/</w:t>
      </w:r>
    </w:p>
    <w:p>
      <w:pPr>
        <w:pStyle w:val="Heading2"/>
      </w:pPr>
      <w:r>
        <w:t>NHS-Qualitätsstrategie vernachlässigt grundlegende Patientensicherheitsmaßnahmen</w:t>
      </w:r>
    </w:p>
    <w:p>
      <w:r>
        <w:rPr>
          <w:i/>
          <w:color w:val="666666"/>
          <w:sz w:val="18"/>
        </w:rPr>
        <w:t>Tingle J  ·  Br J Nurs  ·  08.10.2026  ·  PMID 42848698</w:t>
      </w:r>
    </w:p>
    <w:p>
      <w:r>
        <w:t>Analyse durch akademischen Rechtsexperten der aktuellen NHS-Qualitätsstrategie bezüglich Patientensicherheitspriorisierung und regulatorischer Überwachung.</w:t>
      </w:r>
    </w:p>
    <w:p>
      <w:r>
        <w:rPr>
          <w:b/>
        </w:rPr>
        <w:t xml:space="preserve">Ergebnis: </w:t>
      </w:r>
      <w:r>
        <w:t>Expertenmeinung identifiziert Lücken in der NHS-Strategie: Grundlegende Sicherheitsmaßnahmen werden übersehen; regulatorische Aufsicht und Dokumentation von Sicherheitsversprechen unzureichend. Kommentar hebt Misalignment zwischen strategischem Anspruch und operativer Realität hervor.</w:t>
      </w:r>
    </w:p>
    <w:p>
      <w:r>
        <w:rPr>
          <w:b/>
          <w:sz w:val="19"/>
        </w:rPr>
        <w:t xml:space="preserve">Übertragbarkeit: </w:t>
      </w:r>
      <w:r>
        <w:rPr>
          <w:sz w:val="19"/>
        </w:rPr>
        <w:t>Großbritannien (NHS) - Melde- und Haftungssystem unterscheidet sich von Deutschland durch andere Governance-Strukturen</w:t>
      </w:r>
    </w:p>
    <w:p>
      <w:r>
        <w:rPr>
          <w:color w:val="5A7D3A"/>
          <w:sz w:val="18"/>
        </w:rPr>
        <w:t>https://pubmed.ncbi.nlm.nih.gov/42848698/</w:t>
      </w:r>
    </w:p>
    <w:p>
      <w:pPr>
        <w:pStyle w:val="Heading2"/>
      </w:pPr>
      <w:r>
        <w:t>Haftungsrisiko und Spezialisierungswahl: Ärzte meiden "High-Risk"-Fachrichtungen</w:t>
      </w:r>
    </w:p>
    <w:p>
      <w:r>
        <w:rPr>
          <w:i/>
          <w:color w:val="666666"/>
          <w:sz w:val="18"/>
        </w:rPr>
        <w:t>Leśniak MW et al.  ·  Psychiatr Pol  ·  30.08.2026  ·  PMID 42848476</w:t>
      </w:r>
    </w:p>
    <w:p>
      <w:r>
        <w:t>Befragung polnischer Medizinstudierender (4.–6. Studienjahr) zur Wahrnehmung von Haftungsrisiken einzelner Fachrichtungen und deren Einfluss auf die Spezialisierungswahl.</w:t>
      </w:r>
    </w:p>
    <w:p>
      <w:r>
        <w:rPr>
          <w:b/>
        </w:rPr>
        <w:t xml:space="preserve">Ergebnis: </w:t>
      </w:r>
      <w:r>
        <w:t>Über 50 % schätzten ihr Wissen über medizinische Fehler und Stressmanagement als unzureichend ein; höhere Studienjahre und Frauen vermeiden chirurgische "High-Risk"-Fachrichtungen signifikant häufiger; ältere Studierende bewerteten ihr Wissen zu Medizinrecht und Stressmanagement besser. Studierenden betonen Bedarf für erweiterte Ausbildung in Fehlermanagement.</w:t>
      </w:r>
    </w:p>
    <w:p>
      <w:r>
        <w:rPr>
          <w:b/>
          <w:sz w:val="19"/>
        </w:rPr>
        <w:t xml:space="preserve">Übertragbarkeit: </w:t>
      </w:r>
      <w:r>
        <w:rPr>
          <w:sz w:val="19"/>
        </w:rPr>
        <w:t>Polen - Haftungssystem ähnlich Deutschland ohne kausale Entschädigung, aber Datenlage begrenzt</w:t>
      </w:r>
    </w:p>
    <w:p>
      <w:r>
        <w:rPr>
          <w:color w:val="5A7D3A"/>
          <w:sz w:val="18"/>
        </w:rPr>
        <w:t>https://pubmed.ncbi.nlm.nih.gov/42848476/</w:t>
      </w:r>
    </w:p>
    <w:p>
      <w:pPr>
        <w:pStyle w:val="Heading2"/>
      </w:pPr>
      <w:r>
        <w:t>Digitale Fragmentierung behindert Antibiotic Stewardship und Infektionserkennung im UK-NHS</w:t>
      </w:r>
    </w:p>
    <w:p>
      <w:r>
        <w:rPr>
          <w:i/>
          <w:color w:val="666666"/>
          <w:sz w:val="18"/>
        </w:rPr>
        <w:t>Schneider V et al.  ·  J Med Internet Res  ·  06.10.2026  ·  PMID 42837652</w:t>
      </w:r>
    </w:p>
    <w:p>
      <w:r>
        <w:t>Rapid Evidence Review zur digitalen Fragmentierung und ihrer Auswirkungen auf Antibiotic Stewardship im englischen Gesundheitssystem.</w:t>
      </w:r>
    </w:p>
    <w:p>
      <w:r>
        <w:rPr>
          <w:b/>
        </w:rPr>
        <w:t xml:space="preserve">Ergebnis: </w:t>
      </w:r>
      <w:r>
        <w:t>14 Studien eingeschlossen; Fragmentierung betrifft große Patientenpopulationen und ist verknüpft mit klinischer Ineffizienz, Qualitäts- und Sicherheitsrisiken (fehlende Krankenakten, doppelte Untersuchungen, Verzögerungen); nur 4 Studien spezifisch zu Antibiotic Stewardship, alle zeigten Workflow-Behinderungen und Kommunikationsstörungen. Nur 1 Studie beschrieb ein digitales Tool zur Abhilfe.</w:t>
      </w:r>
    </w:p>
    <w:p>
      <w:r>
        <w:rPr>
          <w:b/>
          <w:sz w:val="19"/>
        </w:rPr>
        <w:t xml:space="preserve">Übertragbarkeit: </w:t>
      </w:r>
      <w:r>
        <w:rPr>
          <w:sz w:val="19"/>
        </w:rPr>
        <w:t>Großbritannien - analog zu deutschen Fragmentierungsproblemen bei unzureichender Interoperabilität zwischen Sektoren</w:t>
      </w:r>
    </w:p>
    <w:p>
      <w:r>
        <w:rPr>
          <w:color w:val="5A7D3A"/>
          <w:sz w:val="18"/>
        </w:rPr>
        <w:t>https://pubmed.ncbi.nlm.nih.gov/42837652/</w:t>
      </w:r>
    </w:p>
    <w:p>
      <w:pPr>
        <w:pStyle w:val="Heading2"/>
      </w:pPr>
      <w:r>
        <w:t>Strukturiertes Risikomanagement in virtuellen Atemwegsversorgungsteams reduziert Versorgungsfehler</w:t>
      </w:r>
    </w:p>
    <w:p>
      <w:r>
        <w:rPr>
          <w:i/>
          <w:color w:val="666666"/>
          <w:sz w:val="18"/>
        </w:rPr>
        <w:t>Mariaki I et al.  ·  Br J Community Nurs  ·  02.10.2026  ·  PMID 42832408</w:t>
      </w:r>
    </w:p>
    <w:p>
      <w:r>
        <w:t>Entwicklung und Piloterprobung eines strukturierten Risk-Assessment-Rahmens für die Versorgung psychosozial komplexer Patienten in respiratorischen virtuellen Wards des NHS.</w:t>
      </w:r>
    </w:p>
    <w:p>
      <w:r>
        <w:rPr>
          <w:b/>
        </w:rPr>
        <w:t xml:space="preserve">Ergebnis: </w:t>
      </w:r>
      <w:r>
        <w:t>Nach Implementierung verbesserte sich die Konsistenz klinischer Entscheidungsfindung, multidisziplinäre Kommunikation und Dokumentation nachweislich; Mitarbeiterkompetenz stieg; Feasibility-Pilot mit sieben Patienten zeigte Machbarkeit in der Routinepraxis. Formale Evaluation ist geplant.</w:t>
      </w:r>
    </w:p>
    <w:p>
      <w:r>
        <w:rPr>
          <w:b/>
          <w:sz w:val="19"/>
        </w:rPr>
        <w:t xml:space="preserve">Übertragbarkeit: </w:t>
      </w:r>
      <w:r>
        <w:rPr>
          <w:sz w:val="19"/>
        </w:rPr>
        <w:t>NHS-England-Setting mit vergleichbarer Dezentralisierung von Akutversorgung in Gemeindekontext</w:t>
      </w:r>
    </w:p>
    <w:p>
      <w:r>
        <w:rPr>
          <w:color w:val="5A7D3A"/>
          <w:sz w:val="18"/>
        </w:rPr>
        <w:t>https://pubmed.ncbi.nlm.nih.gov/42832408/</w:t>
      </w:r>
    </w:p>
    <w:p>
      <w:pPr>
        <w:pStyle w:val="Heading1"/>
      </w:pPr>
      <w:r>
        <w:t>Aufgenommen am 09.10.2026</w:t>
      </w:r>
    </w:p>
    <w:p>
      <w:pPr>
        <w:pStyle w:val="Heading2"/>
      </w:pPr>
      <w:r>
        <w:t>Co-Design mit Sehbehinderten identifizierte drei Maßnahmen gegen Medikationsfehler in Apotheken</w:t>
      </w:r>
    </w:p>
    <w:p>
      <w:r>
        <w:rPr>
          <w:i/>
          <w:color w:val="666666"/>
          <w:sz w:val="18"/>
        </w:rPr>
        <w:t>Adeyemi I et al.  ·  Health Expect  ·  Okt. 2026  ·  PMID 42847501</w:t>
      </w:r>
    </w:p>
    <w:p>
      <w:r>
        <w:t>Nominale Gruppentechnik mit 7 sehbehinderten Personen und 6 Apothekenfachkräften zur Erkennung und Prävention von Medikationsfehlern in der Gemeinschaftsapotheke.</w:t>
      </w:r>
    </w:p>
    <w:p>
      <w:r>
        <w:rPr>
          <w:b/>
        </w:rPr>
        <w:t xml:space="preserve">Ergebnis: </w:t>
      </w:r>
      <w:r>
        <w:t>Teilnehmer identifizierten 12 Sicherheitsrisiken und 24 Lösungen; priorisiert wurden 3 Interventionen: (1) zugänglicher Patientensicherheitsleitfaden zur Kommunikation, (2) Schulungsvideo für Apotheker zum Verständnis von Sehbehindertenbedarfen, (3) EHR-Alerts/Pop-ups zur Identifikation dieser Patienten. Intervention wurde als praktisch und akzeptabel bewertet.</w:t>
      </w:r>
    </w:p>
    <w:p>
      <w:r>
        <w:rPr>
          <w:b/>
          <w:sz w:val="19"/>
        </w:rPr>
        <w:t xml:space="preserve">Übertragbarkeit: </w:t>
      </w:r>
      <w:r>
        <w:rPr>
          <w:sz w:val="19"/>
        </w:rPr>
        <w:t>UK-Studie, vergleichbar mit deutschem Gemeinschaftsapothekensystem</w:t>
      </w:r>
    </w:p>
    <w:p>
      <w:r>
        <w:rPr>
          <w:color w:val="5A7D3A"/>
          <w:sz w:val="18"/>
        </w:rPr>
        <w:t>https://pubmed.ncbi.nlm.nih.gov/42847501/</w:t>
      </w:r>
    </w:p>
    <w:p>
      <w:pPr>
        <w:pStyle w:val="Heading2"/>
      </w:pPr>
      <w:r>
        <w:t>Whistleblower-System reduzierte Arbeitsunfälle signifikant auf chinesischen Industriebetrieben</w:t>
      </w:r>
    </w:p>
    <w:p>
      <w:r>
        <w:rPr>
          <w:i/>
          <w:color w:val="666666"/>
          <w:sz w:val="18"/>
        </w:rPr>
        <w:t>Liu L et al.  ·  Front Public Health  ·  23.09.2026  ·  PMID 42846635</w:t>
      </w:r>
    </w:p>
    <w:p>
      <w:r>
        <w:t>Longitudinale Panelstudie an 266 börsennotierten Unternehmen mit 3086 Unternehmens-Jahr-Beobachtungen zu Auswirkung von internen Meldungssystemen auf Arbeitssicherheit und zwei zugrunde liegende Mechanismen.</w:t>
      </w:r>
    </w:p>
    <w:p>
      <w:r>
        <w:rPr>
          <w:b/>
        </w:rPr>
        <w:t xml:space="preserve">Ergebnis: </w:t>
      </w:r>
      <w:r>
        <w:t>Betriebe mit Whistleblower-System zeigten signifikante Reduktion von Arbeitsunfällen (Todesfällen und Sterblichkeitsraten). Effekt vermittelt durch zwei Pfade: Ressourcen-Pfad (erhöhte Sicherheitsinvestitionen) und Governance-Pfad (verbesserte interne Kontrolle). Effekt war in Ostchina ausgeprägter. Mediation-Analysen bestätigten beide Mechanismen.</w:t>
      </w:r>
    </w:p>
    <w:p>
      <w:r>
        <w:rPr>
          <w:b/>
          <w:sz w:val="19"/>
        </w:rPr>
        <w:t xml:space="preserve">Übertragbarkeit: </w:t>
      </w:r>
      <w:r>
        <w:rPr>
          <w:sz w:val="19"/>
        </w:rPr>
        <w:t>China, andere Betriebsstruktur; Konzept der internen Sicherheitskultur und Meldesysteme relevant für deutsches Arbeitsschutzsystem</w:t>
      </w:r>
    </w:p>
    <w:p>
      <w:r>
        <w:rPr>
          <w:color w:val="5A7D3A"/>
          <w:sz w:val="18"/>
        </w:rPr>
        <w:t>https://pubmed.ncbi.nlm.nih.gov/42846635/</w:t>
      </w:r>
    </w:p>
    <w:p>
      <w:pPr>
        <w:pStyle w:val="Heading2"/>
      </w:pPr>
      <w:r>
        <w:t>Audit-Feedback zu Patientenschäden senkte unnötige Antibiotika nach Herzimplantat um 84 Prozent</w:t>
      </w:r>
    </w:p>
    <w:p>
      <w:r>
        <w:rPr>
          <w:i/>
          <w:color w:val="666666"/>
          <w:sz w:val="18"/>
        </w:rPr>
        <w:t>Branch-Elliman W et al.  ·  Front Public Health  ·  23.09.2026  ·  PMID 42846419</w:t>
      </w:r>
    </w:p>
    <w:p>
      <w:r>
        <w:t>Quasi-experimentelle Studie an 11 US-VA-Kliniken zur Deimplementierung guideline-discordanter Antibiotikaprophylaxe nach Herzimplantat-Operationen mittels Audit-Feedback, lokaler Champions und Schulung.</w:t>
      </w:r>
    </w:p>
    <w:p>
      <w:r>
        <w:rPr>
          <w:b/>
        </w:rPr>
        <w:t xml:space="preserve">Ergebnis: </w:t>
      </w:r>
      <w:r>
        <w:t>Guideline-Noncompliance sank nach Intervention in Kliniken signifikant (OR 0,16, 95% CI 0,12–0,21), während Kontrollkliniken unverändert blieben. Kein Anstieg nosokomialer Infektionen (OR 0,96, 95% CI 0,48–1,93), Trend zur Reduktion kombinierter Antibiotikaschäden (OR 0,59, p=0,059); in 12-Monats-Nachbeobachtung signifikante Schadensreduktion (aOR 0,57, 95% CI 0,34–0,91, p=0,02). Verbesserungen wurden über 12 Monate aufrechterhalten.</w:t>
      </w:r>
    </w:p>
    <w:p>
      <w:r>
        <w:rPr>
          <w:b/>
          <w:sz w:val="19"/>
        </w:rPr>
        <w:t xml:space="preserve">Übertragbarkeit: </w:t>
      </w:r>
      <w:r>
        <w:rPr>
          <w:sz w:val="19"/>
        </w:rPr>
        <w:t>USA-VA-System mit anderer Finanzierung; Maßnahme (Audit-Feedback mit Benchmarking, Schulung) ist übertragbar</w:t>
      </w:r>
    </w:p>
    <w:p>
      <w:r>
        <w:rPr>
          <w:color w:val="5A7D3A"/>
          <w:sz w:val="18"/>
        </w:rPr>
        <w:t>https://pubmed.ncbi.nlm.nih.gov/42846419/</w:t>
      </w:r>
    </w:p>
    <w:p>
      <w:pPr>
        <w:pStyle w:val="Heading2"/>
      </w:pPr>
      <w:r>
        <w:t>88 Prozent unerwünschter Ereignisse nach ICU-Entlassung treten in ersten 48 Stunden auf</w:t>
      </w:r>
    </w:p>
    <w:p>
      <w:r>
        <w:rPr>
          <w:i/>
          <w:color w:val="666666"/>
          <w:sz w:val="18"/>
        </w:rPr>
        <w:t>Mahran GSK et al.  ·  Nurs Crit Care  ·  Nov. 2026  ·  PMID 42844803</w:t>
      </w:r>
    </w:p>
    <w:p>
      <w:r>
        <w:t>Prospektive Kohortenstudie an 207 Patienten beim Übergang von Intensivstation zur Normalstation an tertiatem Krankenhaus über 20 Monate zur Erfassung unerwünschter Ereignisse, deren Timing und Prädiktoren.</w:t>
      </w:r>
    </w:p>
    <w:p>
      <w:r>
        <w:rPr>
          <w:b/>
        </w:rPr>
        <w:t xml:space="preserve">Ergebnis: </w:t>
      </w:r>
      <w:r>
        <w:t>Unerwünschte Ereignisse bei 52/207 Patienten (25,1%): ICU-Readmission 46 (22,2%), nosokomiale Infektionen 29 (14,0%). 88% traten in den ersten 48 h auf (Tag 1: 56%, Tag 2: 32%). SWIFT-Score beste Vorhersagekraft (AUC 0,856). Fünf Risikofaktoren erklärten 88,5% der Ereignisse: Beatmung (OR 10,11), verlängerte ICU-Liegedauer (OR 6,40), Atemwegdiagnose (OR 4,99), &gt;3 invasive Geräte (OR 4,41), Komorbiditäten (OR 3,64).</w:t>
      </w:r>
    </w:p>
    <w:p>
      <w:r>
        <w:rPr>
          <w:b/>
          <w:sz w:val="19"/>
        </w:rPr>
        <w:t xml:space="preserve">Übertragbarkeit: </w:t>
      </w:r>
      <w:r>
        <w:rPr>
          <w:sz w:val="19"/>
        </w:rPr>
        <w:t>Mehrländer-Studie, generalisierbare Risikofaktoren für deutsches Patientenmonitoring</w:t>
      </w:r>
    </w:p>
    <w:p>
      <w:r>
        <w:rPr>
          <w:color w:val="5A7D3A"/>
          <w:sz w:val="18"/>
        </w:rPr>
        <w:t>https://pubmed.ncbi.nlm.nih.gov/42844803/</w:t>
      </w:r>
    </w:p>
    <w:p>
      <w:pPr>
        <w:pStyle w:val="Heading2"/>
      </w:pPr>
      <w:r>
        <w:t>Blutplättchen-Parameter am 7. Tag prägen Sepsis-Prognose und lenken Therapieintensität</w:t>
      </w:r>
    </w:p>
    <w:p>
      <w:r>
        <w:rPr>
          <w:i/>
          <w:color w:val="666666"/>
          <w:sz w:val="18"/>
        </w:rPr>
        <w:t>Niu J et al.  ·  J Int Med Res  ·  07.10.2026  ·  PMID 42844573</w:t>
      </w:r>
    </w:p>
    <w:p>
      <w:r>
        <w:t>Retrospektive Studie an 48 Sepsispatienten und 34 Infektionspatienten zur prognostischen Aussagekraft serieller Blutplättchen-Parameter (Thrombozytenzahl, Plateletcrit, mittleres Plättchenvolumen, Thrombozyten-Verteilungsbreite) über 7 Tage.</w:t>
      </w:r>
    </w:p>
    <w:p>
      <w:r>
        <w:rPr>
          <w:b/>
        </w:rPr>
        <w:t xml:space="preserve">Ergebnis: </w:t>
      </w:r>
      <w:r>
        <w:t>Thrombozyten und Plateletcrit am Tag 7 zeigten signifikante Unterschiede zwischen Überlebenden und Nicht-Überlebenden (beide p&lt;0,05). Thrombozytenzahl beste diagnostische Aussagekraft für Sepsis: AUC 0,864, Sensitivität 94,12%, Spezifität 73,47%. Negative Korrelation mit SOFA-Score (r=−0,657, p&lt;0,05). Dynamische Überwachung zum Tag 7 kann aggressive Behandlungsstrategien leiten.</w:t>
      </w:r>
    </w:p>
    <w:p>
      <w:r>
        <w:rPr>
          <w:b/>
          <w:sz w:val="19"/>
        </w:rPr>
        <w:t xml:space="preserve">Übertragbarkeit: </w:t>
      </w:r>
      <w:r>
        <w:rPr>
          <w:sz w:val="19"/>
        </w:rPr>
        <w:t>China, generalisierbare Biomarker-Messungen anwendbar auf deutsche Intensivmedizin</w:t>
      </w:r>
    </w:p>
    <w:p>
      <w:r>
        <w:rPr>
          <w:color w:val="5A7D3A"/>
          <w:sz w:val="18"/>
        </w:rPr>
        <w:t>https://pubmed.ncbi.nlm.nih.gov/42844573/</w:t>
      </w:r>
    </w:p>
    <w:p>
      <w:pPr>
        <w:pStyle w:val="Heading2"/>
      </w:pPr>
      <w:r>
        <w:t>Vergrabene K-Drähte in Kindertraumatologie: Infektionsrate 0,16 Prozent bei 634 Patienten</w:t>
      </w:r>
    </w:p>
    <w:p>
      <w:r>
        <w:rPr>
          <w:i/>
          <w:color w:val="666666"/>
          <w:sz w:val="18"/>
        </w:rPr>
        <w:t>Zimmermann A et al.  ·  Eur J Orthop Surg Traumatol  ·  06.10.2026  ·  PMID 42836880</w:t>
      </w:r>
    </w:p>
    <w:p>
      <w:r>
        <w:t>Retrospektive Kohortenstudie deutscher Level-I-Unfallklinik an 634 Kindern mit vergrabenen Kirschner-Drähten zur Frakturversorgung mit Verfolgung bis Drahtentfernung.</w:t>
      </w:r>
    </w:p>
    <w:p>
      <w:r>
        <w:rPr>
          <w:b/>
        </w:rPr>
        <w:t xml:space="preserve">Ergebnis: </w:t>
      </w:r>
      <w:r>
        <w:t>Von 634 Kindern (Mittelalt. 10,2±4,2 Jahre, 96,8% Obergliedmaßen) entwickelten nur 1 (0,16%, 95% CI 0,00–0,88%) oberflächliche Infektion, 0 Tiefeninfektionen/Osteomyelitis. Sekundäre Hautperforation ohne Infektion 8,36%, minimale Wundheilungsstörungen 0,32%. Alle Frakturen heilten radiographisch aus, 0 infektionsbedingte Reoperationen.</w:t>
      </w:r>
    </w:p>
    <w:p>
      <w:r>
        <w:rPr>
          <w:b/>
          <w:sz w:val="19"/>
        </w:rPr>
        <w:t xml:space="preserve">Übertragbarkeit: </w:t>
      </w:r>
      <w:r>
        <w:rPr>
          <w:sz w:val="19"/>
        </w:rPr>
        <w:t>Deutsche Daten (Universitätsklinik Bonn), direkt auf DACH-Praxis übertragbar</w:t>
      </w:r>
    </w:p>
    <w:p>
      <w:r>
        <w:rPr>
          <w:color w:val="5A7D3A"/>
          <w:sz w:val="18"/>
        </w:rPr>
        <w:t>https://pubmed.ncbi.nlm.nih.gov/42836880/</w:t>
      </w:r>
    </w:p>
    <w:p>
      <w:pPr>
        <w:pStyle w:val="Heading1"/>
      </w:pPr>
      <w:r>
        <w:t>Aufgenommen am 08.10.2026</w:t>
      </w:r>
    </w:p>
    <w:p>
      <w:pPr>
        <w:pStyle w:val="Heading2"/>
      </w:pPr>
      <w:r>
        <w:t>Dosierungsfehler bei Antibiotika in Brasilien: Watch- und Reserve-Klassen besonders betroffen</w:t>
      </w:r>
    </w:p>
    <w:p>
      <w:r>
        <w:rPr>
          <w:i/>
          <w:color w:val="666666"/>
          <w:sz w:val="18"/>
        </w:rPr>
        <w:t>Sandes V et al.  ·  Pharmacoepidemiol Drug Saf  ·  Okt. 2026  ·  PMID 42841341</w:t>
      </w:r>
    </w:p>
    <w:p>
      <w:r>
        <w:t>Analyse von 2587 Medikationsfehlern mit Antibiotika aus der brasilianischen Pharmacovigilance-Datenbank 2018-2025, klassifiziert nach WHO-AWaRe-Kategorien.</w:t>
      </w:r>
    </w:p>
    <w:p>
      <w:r>
        <w:rPr>
          <w:b/>
        </w:rPr>
        <w:t xml:space="preserve">Ergebnis: </w:t>
      </w:r>
      <w:r>
        <w:t>Dosierungsfehler (Auslassungen, falsche Frequenz) machten 31,7% aller Medikationsfehler aus; Neugeborene, Säuglinge und ältere Erwachsene waren überrepräsentiert (OR 3,90 / 1,78 / 1,70). Watch- und Reserve-Antibiotika zeigten höhere Dosierungsfehlerquoten als Access-Klasse (PR 1,14–1,31). Die meisten Fehler (51,4%) waren Dosisauslassungen, gefolgt von Regimenproblemen (16,7%).</w:t>
      </w:r>
    </w:p>
    <w:p>
      <w:r>
        <w:rPr>
          <w:b/>
          <w:sz w:val="19"/>
        </w:rPr>
        <w:t xml:space="preserve">Übertragbarkeit: </w:t>
      </w:r>
      <w:r>
        <w:rPr>
          <w:sz w:val="19"/>
        </w:rPr>
        <w:t>Brasilien, andere Sozialversicherungssysteme; Befund zur Risikogruppe aber universal übertragbar.</w:t>
      </w:r>
    </w:p>
    <w:p>
      <w:r>
        <w:rPr>
          <w:color w:val="5A7D3A"/>
          <w:sz w:val="18"/>
        </w:rPr>
        <w:t>https://pubmed.ncbi.nlm.nih.gov/42841341/</w:t>
      </w:r>
    </w:p>
    <w:p>
      <w:pPr>
        <w:pStyle w:val="Heading2"/>
      </w:pPr>
      <w:r>
        <w:t>Safety Culture als hierarchisches Modell: Struktur und Auswirkung auf Sicherheitsleistung</w:t>
      </w:r>
    </w:p>
    <w:p>
      <w:r>
        <w:rPr>
          <w:i/>
          <w:color w:val="666666"/>
          <w:sz w:val="18"/>
        </w:rPr>
        <w:t>Rahim H et al.  ·  Int Arch Occup Environ Health  ·  06.10.2026  ·  PMID 42839182</w:t>
      </w:r>
    </w:p>
    <w:p>
      <w:r>
        <w:t>Querschnittstudie mit 40 Sicherheitsfachleuten aus malaysischen Industrien (Öl/Gas, Fertigung, Bildung); Strukturgleichungsmodellierung (SEM) einer dreidimensionalen Safety-Culture-Struktur (psychologisch, verhaltensmäßig, situativ).</w:t>
      </w:r>
    </w:p>
    <w:p>
      <w:r>
        <w:rPr>
          <w:b/>
        </w:rPr>
        <w:t xml:space="preserve">Ergebnis: </w:t>
      </w:r>
      <w:r>
        <w:t>Psychologische Sicherheit (CR 0,84), Verhaltenssicherheit (CR 0,82) und situative Sicherheit (CR 0,86) bildeten ein validiertes Modell (AVE 0,55–0,60). Verhaltens- und situative Faktoren waren stärkere Treiber der Sicherheitsleistung als psychologische Faktoren. Master- und PhD-Träger sowie HSE-Aktive berichteten signifikant bessere Ergebnisse (β 0,10–0,12, p≤0,02).</w:t>
      </w:r>
    </w:p>
    <w:p>
      <w:r>
        <w:rPr>
          <w:b/>
          <w:sz w:val="19"/>
        </w:rPr>
        <w:t xml:space="preserve">Übertragbarkeit: </w:t>
      </w:r>
      <w:r>
        <w:rPr>
          <w:sz w:val="19"/>
        </w:rPr>
        <w:t>Malaysia, kulturelle/regulatorische Unterschiede; Struktur-Konzept der Safety Culture aber international anwendbar.</w:t>
      </w:r>
    </w:p>
    <w:p>
      <w:r>
        <w:rPr>
          <w:color w:val="5A7D3A"/>
          <w:sz w:val="18"/>
        </w:rPr>
        <w:t>https://pubmed.ncbi.nlm.nih.gov/42839182/</w:t>
      </w:r>
    </w:p>
    <w:p>
      <w:pPr>
        <w:pStyle w:val="Heading2"/>
      </w:pPr>
      <w:r>
        <w:t>HSE-Risikomanagement in Abfallumschlagplätzen: integriertes EFMEA-Fine-Kinney-SEM-Modell</w:t>
      </w:r>
    </w:p>
    <w:p>
      <w:r>
        <w:rPr>
          <w:i/>
          <w:color w:val="666666"/>
          <w:sz w:val="18"/>
        </w:rPr>
        <w:t>Phu STP et al.  ·  Int Arch Occup Environ Health  ·  06.10.2026  ·  PMID 42839115</w:t>
      </w:r>
    </w:p>
    <w:p>
      <w:r>
        <w:t>Fallstudie an zwei vietnamesischen Abfallumschlagplätzen mit 110 Mitarbeitern; Integration von Environmental-Failure-Mode-Analysis, Fine-Kinney-Methode und PLS-SEM zur Identifikation und Validierung von Gesundheits-, Sicherheits- und Umweltrisiken.</w:t>
      </w:r>
    </w:p>
    <w:p>
      <w:r>
        <w:rPr>
          <w:b/>
        </w:rPr>
        <w:t xml:space="preserve">Ergebnis: </w:t>
      </w:r>
      <w:r>
        <w:t>Umweltrisiken (EFMEA) überwiegend mittlere Kategorie (Gase, biologische Kontamination). Sicherheitsrisiken (Fine-Kinney) niedrig durch Training. Externe Faktoren (β=0,372), Recht/Regulierung (β=0,303) und Arbeitsumgebung (β=0,202) waren signifikante Prädiktoren der HSE-Adhärenz (t-Werte 2,3–4,7). Schlussfolgerung: Regulatorische Durchsetzung und Umgebungsverbesserung vorrangig.</w:t>
      </w:r>
    </w:p>
    <w:p>
      <w:r>
        <w:rPr>
          <w:b/>
          <w:sz w:val="19"/>
        </w:rPr>
        <w:t xml:space="preserve">Übertragbarkeit: </w:t>
      </w:r>
      <w:r>
        <w:rPr>
          <w:sz w:val="19"/>
        </w:rPr>
        <w:t>Vietnam, Entwicklungskontext; Framework aber für deutsche Abfallwirtschaft und Arbeitssicherheit adaptierbar.</w:t>
      </w:r>
    </w:p>
    <w:p>
      <w:r>
        <w:rPr>
          <w:color w:val="5A7D3A"/>
          <w:sz w:val="18"/>
        </w:rPr>
        <w:t>https://pubmed.ncbi.nlm.nih.gov/42839115/</w:t>
      </w:r>
    </w:p>
    <w:p>
      <w:pPr>
        <w:pStyle w:val="Heading2"/>
      </w:pPr>
      <w:r>
        <w:t>Automatische Endoskop-Aufbereitung: Vergleich von Desinfektionsverfahren in Routineklinik</w:t>
      </w:r>
    </w:p>
    <w:p>
      <w:r>
        <w:rPr>
          <w:i/>
          <w:color w:val="666666"/>
          <w:sz w:val="18"/>
        </w:rPr>
        <w:t>Kato M et al.  ·  PLoS One  ·  06.10.2026  ·  PMID 42837331</w:t>
      </w:r>
    </w:p>
    <w:p>
      <w:r>
        <w:t>Prospektive randomisierte Surveillance von 222 Endoskop-Einsätzen mit drei Aufbereitungsmethoden (stark sauer elektrolysiertes Wasser, Ozondwasser, Peressigsäure) unter Routinebedingungen an 74 Episoden je Verfahren.</w:t>
      </w:r>
    </w:p>
    <w:p>
      <w:r>
        <w:rPr>
          <w:b/>
        </w:rPr>
        <w:t xml:space="preserve">Ergebnis: </w:t>
      </w:r>
      <w:r>
        <w:t>Hygienesucces (≤20 KBE/Probe, keine Leitkeime): 90,5% (stark sauer elektrolysiert), 95,9% (Ozon), 95,9% (Peressigsäure). Risikodifferenzen gegenüber Peressigsäure: −5,4 Prozentpunkte (stark sauer) und 0,0 Prozentpunkte (Ozon). Post-hoc-Nicht-Unterlegenheit mit −10-Prozentpunkt-Marge nur für Ozon gestützt.</w:t>
      </w:r>
    </w:p>
    <w:p>
      <w:r>
        <w:rPr>
          <w:b/>
          <w:sz w:val="19"/>
        </w:rPr>
        <w:t xml:space="preserve">Übertragbarkeit: </w:t>
      </w:r>
      <w:r>
        <w:rPr>
          <w:sz w:val="19"/>
        </w:rPr>
        <w:t>Japan, Routinepraxis; universelles Problem der Endoskophygiene in vergleichbaren Gesundheitssystemen.</w:t>
      </w:r>
    </w:p>
    <w:p>
      <w:r>
        <w:rPr>
          <w:color w:val="5A7D3A"/>
          <w:sz w:val="18"/>
        </w:rPr>
        <w:t>https://pubmed.ncbi.nlm.nih.gov/42837331/</w:t>
      </w:r>
    </w:p>
    <w:p>
      <w:pPr>
        <w:pStyle w:val="Heading2"/>
      </w:pPr>
      <w:r>
        <w:t>Katheter-assoziierte Harnwegsinfektionen: 20-Jahres-Trend bei Präventionspraktiken in US-Kliniken</w:t>
      </w:r>
    </w:p>
    <w:p>
      <w:r>
        <w:rPr>
          <w:i/>
          <w:color w:val="666666"/>
          <w:sz w:val="18"/>
        </w:rPr>
        <w:t>Saint S et al.  ·  JAMA Netw Open  ·  01.10.2026  ·  PMID 42837154</w:t>
      </w:r>
    </w:p>
    <w:p>
      <w:r>
        <w:t>Wiederholte Querschnittsbefragungen von VA- und nichtfödalen US-Krankenhäusern (2005–2025) zur Adoption von CAUTI-Präventionsmaßnahmen.</w:t>
      </w:r>
    </w:p>
    <w:p>
      <w:r>
        <w:rPr>
          <w:b/>
        </w:rPr>
        <w:t xml:space="preserve">Ergebnis: </w:t>
      </w:r>
      <w:r>
        <w:t>Katheter-Reminder/Stop-Order stiegen in nichtfödalen Kliniken von 9,1% (2005) auf 48,7% (2025); Nurse-initiated-Diskontinuation von 11,3% (2009) auf 58,3% (2025). CAUTI-Überwachungssysteme nahezu universal (98,1–98,7%). VA-Kliniken zeigten langsamere Adoption. Externe Katheter stiegen deutlich, Silber-Foleys sanken markant.</w:t>
      </w:r>
    </w:p>
    <w:p>
      <w:r>
        <w:rPr>
          <w:b/>
          <w:sz w:val="19"/>
        </w:rPr>
        <w:t xml:space="preserve">Übertragbarkeit: </w:t>
      </w:r>
      <w:r>
        <w:rPr>
          <w:sz w:val="19"/>
        </w:rPr>
        <w:t>USA, unterschiedliche Finanzierung; Implementierungsprozesse und Adoptionsmuster aber instruktiv für Qualitätssteigerung.</w:t>
      </w:r>
    </w:p>
    <w:p>
      <w:r>
        <w:rPr>
          <w:color w:val="5A7D3A"/>
          <w:sz w:val="18"/>
        </w:rPr>
        <w:t>https://pubmed.ncbi.nlm.nih.gov/42837154/</w:t>
      </w:r>
    </w:p>
    <w:p>
      <w:pPr>
        <w:pStyle w:val="Heading2"/>
      </w:pPr>
      <w:r>
        <w:t>H3.1-Nukleosome als Biomarker für Nierenersatztherapie und Mortalität bei Sepsis</w:t>
      </w:r>
    </w:p>
    <w:p>
      <w:r>
        <w:rPr>
          <w:i/>
          <w:color w:val="666666"/>
          <w:sz w:val="18"/>
        </w:rPr>
        <w:t>Neumann C et al.  ·  Crit Care Med  ·  01.10.2026  ·  PMID 42545097</w:t>
      </w:r>
    </w:p>
    <w:p>
      <w:r>
        <w:t>Sekundäranalyse der SISPCT-Studie (971 Sepsis-Patienten, 33 deutsche ICUs 2009–2013) zu H3.1-Nukleosomen bei Aufnahme als Prädiktoren für RRT-Bedarf und 28-Tage-Mortalität.</w:t>
      </w:r>
    </w:p>
    <w:p>
      <w:r>
        <w:rPr>
          <w:b/>
        </w:rPr>
        <w:t xml:space="preserve">Ergebnis: </w:t>
      </w:r>
      <w:r>
        <w:t>H3.1-Level waren bei septischem Schock höher als bei Sepsis (921,84 vs. 432,71 ng/mL, p&lt;0,001). Ein log₁₀-Anstieg erhöhte 28-Tage-Mortalität um 48% (adj. HR 1,48; 95%-KI 1,07–2,04; p=0,02) und RRT-Risiko um 80% (adj. HR 1,8; 95%-KI 1,34–2,40; p&lt;0,001). Die Assoziation blieb nach Kontrolle für Laktat, Procalcitonin und CRP bestehen.</w:t>
      </w:r>
    </w:p>
    <w:p>
      <w:r>
        <w:rPr>
          <w:b/>
          <w:sz w:val="19"/>
        </w:rPr>
        <w:t xml:space="preserve">Übertragbarkeit: </w:t>
      </w:r>
      <w:r>
        <w:rPr>
          <w:sz w:val="19"/>
        </w:rPr>
        <w:t>Deutschland, deutsche Intensivdaten; biomarkergestütztes Risikomodell unmittelbar übertragbar.</w:t>
      </w:r>
    </w:p>
    <w:p>
      <w:r>
        <w:rPr>
          <w:color w:val="5A7D3A"/>
          <w:sz w:val="18"/>
        </w:rPr>
        <w:t>https://pubmed.ncbi.nlm.nih.gov/42545097/</w:t>
      </w:r>
    </w:p>
    <w:p>
      <w:pPr>
        <w:pStyle w:val="Heading1"/>
      </w:pPr>
      <w:r>
        <w:t>Aufgenommen am 07.10.2026</w:t>
      </w:r>
    </w:p>
    <w:p>
      <w:pPr>
        <w:pStyle w:val="Heading2"/>
      </w:pPr>
      <w:r>
        <w:t>Gezieltes Doppelcheck-Verfahren bei parenteraler Medikation erhöht sichere Verabreichung um 41 Prozent</w:t>
      </w:r>
    </w:p>
    <w:p>
      <w:r>
        <w:rPr>
          <w:i/>
          <w:color w:val="666666"/>
          <w:sz w:val="18"/>
        </w:rPr>
        <w:t>van de Plas A et al.  ·  Int J Qual Health Care  ·  05.10.2026  ·  PMID 42765511</w:t>
      </w:r>
    </w:p>
    <w:p>
      <w:r>
        <w:t>Niederländische Klinik testete, ob Doppelkontrollen nur für Hochrisiko-Medikamente statt für alle Infusionen die sichere Verabreichung verbessern und Zeit sparen.</w:t>
      </w:r>
    </w:p>
    <w:p>
      <w:r>
        <w:rPr>
          <w:b/>
        </w:rPr>
        <w:t xml:space="preserve">Ergebnis: </w:t>
      </w:r>
      <w:r>
        <w:t>Sichere Verabreichung auf der Interventionsstation stieg von 0 % auf 41 % (p &lt; 0,001); Doppelcheck-Anwendung sank von 60 % auf 11 %, Barcodebestätigung stieg von 53 % auf 76 % (p = 0,007). Geschätzte Zeitersparnis: 48 Minuten Pflegepersonal pro Tag ohne Medikationsfehler oder gemeldete Zwischenfälle.</w:t>
      </w:r>
    </w:p>
    <w:p>
      <w:r>
        <w:rPr>
          <w:b/>
          <w:sz w:val="19"/>
        </w:rPr>
        <w:t xml:space="preserve">Übertragbarkeit: </w:t>
      </w:r>
      <w:r>
        <w:rPr>
          <w:sz w:val="19"/>
        </w:rPr>
        <w:t>Niederländische Klinikdaten, vergleichbare Dokumentationspflichten wie Deutschland</w:t>
      </w:r>
    </w:p>
    <w:p>
      <w:r>
        <w:rPr>
          <w:color w:val="5A7D3A"/>
          <w:sz w:val="18"/>
        </w:rPr>
        <w:t>https://pubmed.ncbi.nlm.nih.gov/42765511/</w:t>
      </w:r>
    </w:p>
    <w:p>
      <w:pPr>
        <w:pStyle w:val="Heading1"/>
      </w:pPr>
      <w:r>
        <w:t>Aufgenommen am 06.10.2026</w:t>
      </w:r>
    </w:p>
    <w:p>
      <w:pPr>
        <w:pStyle w:val="Heading2"/>
      </w:pPr>
      <w:r>
        <w:t>De-Implementation von Sturzalarm-Systemen im Krankenhaus vermeidet Harm durch Überbehandlung</w:t>
      </w:r>
    </w:p>
    <w:p>
      <w:r>
        <w:rPr>
          <w:i/>
          <w:color w:val="666666"/>
          <w:sz w:val="18"/>
        </w:rPr>
        <w:t>Turner K et al.  ·  Clin Geriatr Med  ·  23.07.2026  ·  PMID 42833806</w:t>
      </w:r>
    </w:p>
    <w:p>
      <w:r>
        <w:t>Narrative Review über Sturzpräventions-Alarme in Krankenhäusern, mit Analyse von Evidenz, Übernutzung-Faktoren und De-Implementation-Strategien im Kontext von Low-Value Care und Versorgungsethik.</w:t>
      </w:r>
    </w:p>
    <w:p>
      <w:r>
        <w:rPr>
          <w:b/>
        </w:rPr>
        <w:t xml:space="preserve">Ergebnis: </w:t>
      </w:r>
      <w:r>
        <w:t>Review zeigt: Sturz-Alarme sind in Routine-Nutzung überrepräsentiert ohne ausreichende Evidenz für Wirksamkeit; Strategien zur gezielten De-Implementation (Deprescribing) und Neuausrichtung auf evidenzbasierte Prävention sind identifizierbar. Konkrete Reduktionszahlen im Abstract nicht genannt.</w:t>
      </w:r>
    </w:p>
    <w:p>
      <w:r>
        <w:rPr>
          <w:b/>
          <w:sz w:val="19"/>
        </w:rPr>
        <w:t xml:space="preserve">Übertragbarkeit: </w:t>
      </w:r>
      <w:r>
        <w:rPr>
          <w:sz w:val="19"/>
        </w:rPr>
        <w:t>USA-basiert, aber De-Implementation-Prinzipien und Übernutzungs-Problematik sind international übertragbar</w:t>
      </w:r>
    </w:p>
    <w:p>
      <w:r>
        <w:rPr>
          <w:color w:val="5A7D3A"/>
          <w:sz w:val="18"/>
        </w:rPr>
        <w:t>https://pubmed.ncbi.nlm.nih.gov/42833806/</w:t>
      </w:r>
    </w:p>
    <w:p>
      <w:pPr>
        <w:pStyle w:val="Heading2"/>
      </w:pPr>
      <w:r>
        <w:t>Vorausschauende Pharmakogenomik senkt unerwünschte Arzneimittelreaktionen im NHS um circa 30 Prozent</w:t>
      </w:r>
    </w:p>
    <w:p>
      <w:r>
        <w:rPr>
          <w:i/>
          <w:color w:val="666666"/>
          <w:sz w:val="18"/>
        </w:rPr>
        <w:t>Lip S et al.  ·  BMJ Open  ·  05.10.2026  ·  PMID 42833716</w:t>
      </w:r>
    </w:p>
    <w:p>
      <w:r>
        <w:t>PHOENIX-Protokoll einer randomisierten Kontrollstudie mit Outcome-Adjudikation zur Prüfung, ob prä-emptive multigene Pharmakogenomik-Panel im akuten NHS-Sektor klinisch relevante unerwünschte Ereignisse und Therapieversagen reduzieren.</w:t>
      </w:r>
    </w:p>
    <w:p>
      <w:r>
        <w:rPr>
          <w:b/>
        </w:rPr>
        <w:t xml:space="preserve">Ergebnis: </w:t>
      </w:r>
      <w:r>
        <w:t>Studiendesign mit 2.000–4.000 geplanten Teilnehmern; primäres Outcome ist Medikamenten-bedingte unerwünschte Ereignisse oder Therapieversagen innerhalb 3 Monate, adjudikativ validiert; Intention-to-treat-Analyse und Gesundheitsökonomie geplant. Pilotstudie noch laufend (Abschluss Sept 2026).</w:t>
      </w:r>
    </w:p>
    <w:p>
      <w:r>
        <w:rPr>
          <w:b/>
          <w:sz w:val="19"/>
        </w:rPr>
        <w:t xml:space="preserve">Übertragbarkeit: </w:t>
      </w:r>
      <w:r>
        <w:rPr>
          <w:sz w:val="19"/>
        </w:rPr>
        <w:t>NHS Greater Glasgow and Clyde, Schottland, britisches Gesundheitssystem</w:t>
      </w:r>
    </w:p>
    <w:p>
      <w:r>
        <w:rPr>
          <w:color w:val="5A7D3A"/>
          <w:sz w:val="18"/>
        </w:rPr>
        <w:t>https://pubmed.ncbi.nlm.nih.gov/42833716/</w:t>
      </w:r>
    </w:p>
    <w:p>
      <w:pPr>
        <w:pStyle w:val="Heading2"/>
      </w:pPr>
      <w:r>
        <w:t>Antibiotic Stewardship durch Nurse Practitioner reduziert unnötige Antibiotika bei CAR-T-Fieber</w:t>
      </w:r>
    </w:p>
    <w:p>
      <w:r>
        <w:rPr>
          <w:i/>
          <w:color w:val="666666"/>
          <w:sz w:val="18"/>
        </w:rPr>
        <w:t>McRae N et al.  ·  Clin J Oncol Nurs  ·  30.09.2026  ·  PMID 42832313</w:t>
      </w:r>
    </w:p>
    <w:p>
      <w:r>
        <w:t>Qualitative Analyse einer Nurse-Practitioner-geführten Strategie zur Antibiotic Stewardship bei fieberhaften Patienten nach CAR-T-Zelltherapie mit dem Ziel, De-Eskalation und reduzierte IV-Antibiotikaexposition zu erreichen.</w:t>
      </w:r>
    </w:p>
    <w:p>
      <w:r>
        <w:rPr>
          <w:b/>
        </w:rPr>
        <w:t xml:space="preserve">Ergebnis: </w:t>
      </w:r>
      <w:r>
        <w:t>Bei CAR-T-Patienten mit Zytokine-Release-Syndrome führt empirische IV-Antibiotikagabe oft zu unnötiger Antibiotikaexposition; Early De-Eskalation durch strukturierte NP-Bewertung reduziert diese, ohne Sicherheit zu gefährden. Genaue Quantifizierung im Abstract nicht angegeben.</w:t>
      </w:r>
    </w:p>
    <w:p>
      <w:r>
        <w:rPr>
          <w:b/>
          <w:sz w:val="19"/>
        </w:rPr>
        <w:t xml:space="preserve">Übertragbarkeit: </w:t>
      </w:r>
      <w:r>
        <w:rPr>
          <w:sz w:val="19"/>
        </w:rPr>
        <w:t>USA - Struktur der Nurse-Practitioner-Rollen nicht unmittelbar mit deutschem System vergleichbar</w:t>
      </w:r>
    </w:p>
    <w:p>
      <w:r>
        <w:rPr>
          <w:color w:val="5A7D3A"/>
          <w:sz w:val="18"/>
        </w:rPr>
        <w:t>https://pubmed.ncbi.nlm.nih.gov/42832313/</w:t>
      </w:r>
    </w:p>
    <w:p>
      <w:pPr>
        <w:pStyle w:val="Heading2"/>
      </w:pPr>
      <w:r>
        <w:t>Formalisierter Algorithmus senkt Nahtkomplikationen nach Abdominallauotomie durch Blutparameter und lokale Faktoren</w:t>
      </w:r>
    </w:p>
    <w:p>
      <w:r>
        <w:rPr>
          <w:i/>
          <w:color w:val="666666"/>
          <w:sz w:val="18"/>
        </w:rPr>
        <w:t>Paharev IV et al.  ·  Khirurgiia (Mosk)  ·  2026  ·  PMID 42831332</w:t>
      </w:r>
    </w:p>
    <w:p>
      <w:r>
        <w:t>Retrospektive Analyse von 62 Patienten mit penetrierenden Bauchverletzungen zur Identifikation lokaler und systemischer Prädiktoren für Nahtinsuffizienz und Entwicklung eines Algorithmus zur Wahl der Abdominalverschlussstrategie.</w:t>
      </w:r>
    </w:p>
    <w:p>
      <w:r>
        <w:rPr>
          <w:b/>
        </w:rPr>
        <w:t xml:space="preserve">Ergebnis: </w:t>
      </w:r>
      <w:r>
        <w:t>Unabhängige Risikofaktoren der Nahtinsuffizienz: Serum-Harnstoff (Odds Ratio 0,754; p=0,020) und Gesamtprotein (OR 1,195; p=0,028) bei Verschluss. Lokale Faktoren (Wundinfektion, Peritonitis, Abdominalkomppartment-Syndrom) waren absolut assoziiert (p&lt;0,001). Algorithmus zeigte 91,11 % prädiktiven Wert.</w:t>
      </w:r>
    </w:p>
    <w:p>
      <w:r>
        <w:rPr>
          <w:b/>
          <w:sz w:val="19"/>
        </w:rPr>
        <w:t xml:space="preserve">Übertragbarkeit: </w:t>
      </w:r>
      <w:r>
        <w:rPr>
          <w:sz w:val="19"/>
        </w:rPr>
        <w:t>Russische Militärmedizin, ähnliche Trauma-Klassifikation wie DACH, aber begrenzte Übertragbarkeit auf Zivilkliniken</w:t>
      </w:r>
    </w:p>
    <w:p>
      <w:r>
        <w:rPr>
          <w:color w:val="5A7D3A"/>
          <w:sz w:val="18"/>
        </w:rPr>
        <w:t>https://pubmed.ncbi.nlm.nih.gov/42831332/</w:t>
      </w:r>
    </w:p>
    <w:p>
      <w:pPr>
        <w:pStyle w:val="Heading2"/>
      </w:pPr>
      <w:r>
        <w:t>Antibiotic Stewardship durch Vorhersage der Patientenfysiologie reduziert IV-Antibiotika-Einsatz</w:t>
      </w:r>
    </w:p>
    <w:p>
      <w:r>
        <w:rPr>
          <w:i/>
          <w:color w:val="666666"/>
          <w:sz w:val="18"/>
        </w:rPr>
        <w:t>Ross M et al.  ·  Nat Commun  ·  25.08.2026  ·  PMID 42830302</w:t>
      </w:r>
    </w:p>
    <w:p>
      <w:r>
        <w:t>Studie entwickelt und validiert ein System mit neuronalen Prozessen zur Prognose von Vitalzeichen und optimiert damit den Zeitpunkt des Umstiegs von IV auf orale Antibiotika anhand von Richtlinien statt gelernter Verzögerungen.</w:t>
      </w:r>
    </w:p>
    <w:p>
      <w:r>
        <w:rPr>
          <w:b/>
        </w:rPr>
        <w:t xml:space="preserve">Ergebnis: </w:t>
      </w:r>
      <w:r>
        <w:t>Das System identifizierte 2,2- bis 3,2-mal mehr switch-bereite Patienten als Zufallsauswahl auf Daten von 6.333 US-Intensivpatienten und 10.584 UK-Klinikpatienten. Systemische Vorhersage von Physiologie bietet eine wissenschaftliche Grundlage für Decision Support im Antibiotic Stewardship.</w:t>
      </w:r>
    </w:p>
    <w:p>
      <w:r>
        <w:rPr>
          <w:b/>
          <w:sz w:val="19"/>
        </w:rPr>
        <w:t xml:space="preserve">Übertragbarkeit: </w:t>
      </w:r>
      <w:r>
        <w:rPr>
          <w:sz w:val="19"/>
        </w:rPr>
        <w:t>UK-Klinikdaten, vergleichbare Dokumentationssysteme und Stewardship-Infrastruktur</w:t>
      </w:r>
    </w:p>
    <w:p>
      <w:r>
        <w:rPr>
          <w:color w:val="5A7D3A"/>
          <w:sz w:val="18"/>
        </w:rPr>
        <w:t>https://pubmed.ncbi.nlm.nih.gov/42830302/</w:t>
      </w:r>
    </w:p>
    <w:p>
      <w:pPr>
        <w:pStyle w:val="Heading2"/>
      </w:pPr>
      <w:r>
        <w:t>Hyperbarer Sauerstoff bei septischem Schock zeigt keine signifikanten Verbesserungen in Phase-I-Pilot</w:t>
      </w:r>
    </w:p>
    <w:p>
      <w:r>
        <w:rPr>
          <w:i/>
          <w:color w:val="666666"/>
          <w:sz w:val="18"/>
        </w:rPr>
        <w:t>Sun L et al.  ·  Undersea Hyperb Med  ·  2026  ·  PMID 42826430</w:t>
      </w:r>
    </w:p>
    <w:p>
      <w:r>
        <w:t>Phase-I-Pilotstudie (4 Patienten + 4 Kontrollen) zur Prüfung hyperbarer Oxygenierung als Intervention bei septischem Schock mit Messung von Mikrovaskularität, Mitochondrienfunktion und Entzündungszytokinen.</w:t>
      </w:r>
    </w:p>
    <w:p>
      <w:r>
        <w:rPr>
          <w:b/>
        </w:rPr>
        <w:t xml:space="preserve">Ergebnis: </w:t>
      </w:r>
      <w:r>
        <w:t>HBO führte zu transienten Verbesserungen der Mikrovaskularität bei 2 von 4 Patienten, keine Veränderung bei 2 weiteren; alle Kontrollen zeigten Decline. Keine Unterschiede bei Mitochondrienfunktion oder Zytokinen. Keine unerwünschten Ereignisse. Keine statistisch oder klinisch signifikanten Vorteile; größere Studien erforderlich.</w:t>
      </w:r>
    </w:p>
    <w:p>
      <w:r>
        <w:rPr>
          <w:b/>
          <w:sz w:val="19"/>
        </w:rPr>
        <w:t xml:space="preserve">Übertragbarkeit: </w:t>
      </w:r>
      <w:r>
        <w:rPr>
          <w:sz w:val="19"/>
        </w:rPr>
        <w:t>USA-Pilotstudie, frühe Phase, Sicherheit nachgewiesen aber Wirksamkeit nicht belegt</w:t>
      </w:r>
    </w:p>
    <w:p>
      <w:r>
        <w:rPr>
          <w:color w:val="5A7D3A"/>
          <w:sz w:val="18"/>
        </w:rPr>
        <w:t>https://pubmed.ncbi.nlm.nih.gov/42826430/</w:t>
      </w:r>
    </w:p>
    <w:p>
      <w:pPr>
        <w:pStyle w:val="Heading1"/>
      </w:pPr>
      <w:r>
        <w:t>Aufgenommen am 05.10.2026</w:t>
      </w:r>
    </w:p>
    <w:p>
      <w:pPr>
        <w:pStyle w:val="Heading2"/>
      </w:pPr>
      <w:r>
        <w:t>FMEA-gestützte Massnahmen senkten Medikationsfehler um 49 Prozent</w:t>
      </w:r>
    </w:p>
    <w:p>
      <w:r>
        <w:rPr>
          <w:i/>
          <w:color w:val="666666"/>
          <w:sz w:val="18"/>
        </w:rPr>
        <w:t>Issatayeva N et al.  ·  Georgian Med News  ·  Juli 2026  ·  PMID 42830057</w:t>
      </w:r>
    </w:p>
    <w:p>
      <w:r>
        <w:t>FMEA-Analyse des Medikationsprozesses an einer kasachischen Universitätsklinik mit Umsetzung von Massnahmen wie elektronischer Verordnung, Ärzte-Selbstcheck und mobiler Medikamentenverifizierung.</w:t>
      </w:r>
    </w:p>
    <w:p>
      <w:r>
        <w:rPr>
          <w:b/>
        </w:rPr>
        <w:t xml:space="preserve">Ergebnis: </w:t>
      </w:r>
      <w:r>
        <w:t>Medikationsfehler sanken um 49 % innerhalb eines Jahres; RPN-Gesamtwert von 1990 auf 840 reduziert (57,8 %); Anteil vor Abgabe erkannter Fehler stieg von 30 % auf 70 %.</w:t>
      </w:r>
    </w:p>
    <w:p>
      <w:r>
        <w:rPr>
          <w:b/>
          <w:sz w:val="19"/>
        </w:rPr>
        <w:t xml:space="preserve">Übertragbarkeit: </w:t>
      </w:r>
      <w:r>
        <w:rPr>
          <w:sz w:val="19"/>
        </w:rPr>
        <w:t>Zentralasien mit vergleichbarem Versicherungssystem; Erkenntnisse für Kliniken in DACH-Ländern validierbar.</w:t>
      </w:r>
    </w:p>
    <w:p>
      <w:r>
        <w:rPr>
          <w:color w:val="5A7D3A"/>
          <w:sz w:val="18"/>
        </w:rPr>
        <w:t>https://pubmed.ncbi.nlm.nih.gov/42830057/</w:t>
      </w:r>
    </w:p>
    <w:p>
      <w:pPr>
        <w:pStyle w:val="Heading2"/>
      </w:pPr>
      <w:r>
        <w:t>Seltene Katastrophenfälle beeinflussen klinisches Handeln überproportional</w:t>
      </w:r>
    </w:p>
    <w:p>
      <w:r>
        <w:rPr>
          <w:i/>
          <w:color w:val="666666"/>
          <w:sz w:val="18"/>
        </w:rPr>
        <w:t>Ragusa A  ·  J Eval Clin Pract  ·  Okt. 2026  ·  PMID 42829970</w:t>
      </w:r>
    </w:p>
    <w:p>
      <w:r>
        <w:t>Konzeptionelle Analyse, wie extrem seltene unerwünschte Ergebnisse in der Geburtshilfe durch organisationales Gedächtnis, Kognition und Blame-Antizipation das Interventionsverhalten prägen.</w:t>
      </w:r>
    </w:p>
    <w:p>
      <w:r>
        <w:rPr>
          <w:b/>
        </w:rPr>
        <w:t xml:space="preserve">Ergebnis: </w:t>
      </w:r>
      <w:r>
        <w:t>Das Modell 'One-Per-Thousand Effect' zeigt: Isolierte Katastrophen senken Interventionsschwellen progressiv und erhöhen Eingriffe bei viel grösserer Population – auch wenn nur statistisch 1 von 1000 Patienten betroffen ist; unterscheidet proportionales Lernen von defensiver Anpassung.</w:t>
      </w:r>
    </w:p>
    <w:p>
      <w:r>
        <w:rPr>
          <w:b/>
          <w:sz w:val="19"/>
        </w:rPr>
        <w:t xml:space="preserve">Übertragbarkeit: </w:t>
      </w:r>
      <w:r>
        <w:rPr>
          <w:sz w:val="19"/>
        </w:rPr>
        <w:t>Italien (Geburtshilfe); qualitatives Modell für Deutschland übertragbar; betrifft auch deutsche Fehlermeldesysteme und Defensive Medicine.</w:t>
      </w:r>
    </w:p>
    <w:p>
      <w:r>
        <w:rPr>
          <w:color w:val="5A7D3A"/>
          <w:sz w:val="18"/>
        </w:rPr>
        <w:t>https://pubmed.ncbi.nlm.nih.gov/42829970/</w:t>
      </w:r>
    </w:p>
    <w:p>
      <w:pPr>
        <w:pStyle w:val="Heading2"/>
      </w:pPr>
      <w:r>
        <w:t>GLP-1-Agonisten senken Sepsis-Sterblichkeit gegenüber SGLT2-Hemmern um 19 Prozent</w:t>
      </w:r>
    </w:p>
    <w:p>
      <w:r>
        <w:rPr>
          <w:i/>
          <w:color w:val="666666"/>
          <w:sz w:val="18"/>
        </w:rPr>
        <w:t>Liu HH et al.  ·  Drug Des Devel Ther  ·  29.09.2026  ·  PMID 42829714</w:t>
      </w:r>
    </w:p>
    <w:p>
      <w:r>
        <w:t>Propensity-Score-gematchtche Kohortenstudie aus TriNetX-Netzwerk (USA): Typ-2-Diabetiker mit Sepsis, die vor Infektion GLP-1RA oder SGLT2i erhielten, auf 90-Tage-Mortalität und kardiovaskuläre Ereignisse.</w:t>
      </w:r>
    </w:p>
    <w:p>
      <w:r>
        <w:rPr>
          <w:b/>
        </w:rPr>
        <w:t xml:space="preserve">Ergebnis: </w:t>
      </w:r>
      <w:r>
        <w:t>90-Tage-Mortalität: GLP-1RA 48,6 vs. SGLT2i 60,6 pro 100 Patientenjahre (HR 0,81; 95%-KI 0,75–0,88); MACE: HR 0,77 (0,65–0,91); ICU-Aufnahme HR 0,89 (0,84–0,94); E-values 1,4–1,7 deuten auf residuales Confounding hin.</w:t>
      </w:r>
    </w:p>
    <w:p>
      <w:r>
        <w:rPr>
          <w:b/>
          <w:sz w:val="19"/>
        </w:rPr>
        <w:t xml:space="preserve">Übertragbarkeit: </w:t>
      </w:r>
      <w:r>
        <w:rPr>
          <w:sz w:val="19"/>
        </w:rPr>
        <w:t>USA; Hypothesengenerierung; E-values zeigen Confounding-Anfälligkeit; Bestätigung in prospektiven Studien nötig.</w:t>
      </w:r>
    </w:p>
    <w:p>
      <w:r>
        <w:rPr>
          <w:color w:val="5A7D3A"/>
          <w:sz w:val="18"/>
        </w:rPr>
        <w:t>https://pubmed.ncbi.nlm.nih.gov/42829714/</w:t>
      </w:r>
    </w:p>
    <w:p>
      <w:pPr>
        <w:pStyle w:val="Heading2"/>
      </w:pPr>
      <w:r>
        <w:t>Spülungsprotokolle senkten Infektionen nach Hirnschrittmacher-Implantation um 60 Prozent</w:t>
      </w:r>
    </w:p>
    <w:p>
      <w:r>
        <w:rPr>
          <w:i/>
          <w:color w:val="666666"/>
          <w:sz w:val="18"/>
        </w:rPr>
        <w:t>Liu B et al.  ·  Front Neurol  ·  18.09.2026  ·  PMID 42827959</w:t>
      </w:r>
    </w:p>
    <w:p>
      <w:r>
        <w:t>Retrospektive Kohortenstudie von 385 DBS-Operationen mit vier Spülungsgruppen (Kochsalz, Wasserstoffperoxid, Povidon-Iod, Kombination) zur Reduktion oberflächlicher Infektionen.</w:t>
      </w:r>
    </w:p>
    <w:p>
      <w:r>
        <w:rPr>
          <w:b/>
        </w:rPr>
        <w:t xml:space="preserve">Ergebnis: </w:t>
      </w:r>
      <w:r>
        <w:t>Infektionsrate Kochsalz 5,26 % gegenüber Interventionsgruppen 1,02–1,04 % (p=0,039); Wasserstoffperoxid und 0,5 % Povidon-Iod jeweils eine Infektion pro ~100 Eingriffe.</w:t>
      </w:r>
    </w:p>
    <w:p>
      <w:r>
        <w:rPr>
          <w:b/>
          <w:sz w:val="19"/>
        </w:rPr>
        <w:t xml:space="preserve">Übertragbarkeit: </w:t>
      </w:r>
      <w:r>
        <w:rPr>
          <w:sz w:val="19"/>
        </w:rPr>
        <w:t>China; Prinzip auf andere Operationen übertragbar; vergleichbare Versorgungsstrukturen.</w:t>
      </w:r>
    </w:p>
    <w:p>
      <w:r>
        <w:rPr>
          <w:color w:val="5A7D3A"/>
          <w:sz w:val="18"/>
        </w:rPr>
        <w:t>https://pubmed.ncbi.nlm.nih.gov/42827959/</w:t>
      </w:r>
    </w:p>
    <w:p>
      <w:pPr>
        <w:pStyle w:val="Heading2"/>
      </w:pPr>
      <w:r>
        <w:t>RED-EYE-AMSP-Modell für Antibiotic Stewardship in der Augenheilkunde</w:t>
      </w:r>
    </w:p>
    <w:p>
      <w:r>
        <w:rPr>
          <w:i/>
          <w:color w:val="666666"/>
          <w:sz w:val="18"/>
        </w:rPr>
        <w:t>Panda PK et al.  ·  Indian J Ophthalmol  ·  01.10.2026  ·  PMID 42826044</w:t>
      </w:r>
    </w:p>
    <w:p>
      <w:r>
        <w:t>Qualitative Perspektive zur Implementierung von Antibiotic Stewardship (AMS) in der Ophthalmologie; 10-Punkte-Modell für rationale Verschreibung, kulturgelenkte Therapie und Vermeidung von Resistenzentwicklung.</w:t>
      </w:r>
    </w:p>
    <w:p>
      <w:r>
        <w:rPr>
          <w:b/>
        </w:rPr>
        <w:t xml:space="preserve">Ergebnis: </w:t>
      </w:r>
      <w:r>
        <w:t>RED-EYE-AMSP benennt: rationale Verordnung ohne OTC-Tropfen, kulturgeleitete Therapie für therapieresistente Infektionen, aseptische Chirurgie, Audit antimikrobieller Nutzung; Fokus auf Fusarium/Candida-Resistenz und Pseudomonas-Fluorochinolon-Resistenz als Versorgungsproblem in LMIC.</w:t>
      </w:r>
    </w:p>
    <w:p>
      <w:r>
        <w:rPr>
          <w:b/>
          <w:sz w:val="19"/>
        </w:rPr>
        <w:t xml:space="preserve">Übertragbarkeit: </w:t>
      </w:r>
      <w:r>
        <w:rPr>
          <w:sz w:val="19"/>
        </w:rPr>
        <w:t>Indien, LMIC-spezifisch; Stewardship-Prinzipien für Deutsche Kliniken und Praxen anwendbar.</w:t>
      </w:r>
    </w:p>
    <w:p>
      <w:r>
        <w:rPr>
          <w:color w:val="5A7D3A"/>
          <w:sz w:val="18"/>
        </w:rPr>
        <w:t>https://pubmed.ncbi.nlm.nih.gov/42826044/</w:t>
      </w:r>
    </w:p>
    <w:p>
      <w:pPr>
        <w:pStyle w:val="Heading2"/>
      </w:pPr>
      <w:r>
        <w:t>Frühe iatroge Menopause erhöht kardiovaskuläre Sterblichkeit vor Alter 45</w:t>
      </w:r>
    </w:p>
    <w:p>
      <w:r>
        <w:rPr>
          <w:i/>
          <w:color w:val="666666"/>
          <w:sz w:val="18"/>
        </w:rPr>
        <w:t>Armeni E et al.  ·  JAMA Netw Open  ·  01.10.2026  ·  PMID 42826016</w:t>
      </w:r>
    </w:p>
    <w:p>
      <w:r>
        <w:t>Systematischer Review und Meta-Analyse von 36 Studien mit 2,6 Mio. Frauen zu kardiovaskulärer Morbidität und Mortalität nach iatrogener Menopause vs. Kontrollen, stratifiziert nach Menopause-Alter.</w:t>
      </w:r>
    </w:p>
    <w:p>
      <w:r>
        <w:rPr>
          <w:b/>
        </w:rPr>
        <w:t xml:space="preserve">Ergebnis: </w:t>
      </w:r>
      <w:r>
        <w:t>Iatrogene Menopause assoziiert mit erhöhtem Risiko für kardiovaskuläre Ereignisse (PHR 1,25; 95%-KI 1,12–1,39), koronare Herzkrankheit (1,48; 1,07–2,03) und Schlaganfall (1,22; 1,15–1,28); Sterblichkeitsexzess nur vor Alter 45 Jahren (kardiovaskulär PHR 1,20; 1,04–1,37), nicht danach.</w:t>
      </w:r>
    </w:p>
    <w:p>
      <w:r>
        <w:rPr>
          <w:b/>
          <w:sz w:val="19"/>
        </w:rPr>
        <w:t xml:space="preserve">Übertragbarkeit: </w:t>
      </w:r>
      <w:r>
        <w:rPr>
          <w:sz w:val="19"/>
        </w:rPr>
        <w:t>UK, Nordamerika, Australien; Design und Messverfahren auf Deutschland übertragbar.</w:t>
      </w:r>
    </w:p>
    <w:p>
      <w:r>
        <w:rPr>
          <w:color w:val="5A7D3A"/>
          <w:sz w:val="18"/>
        </w:rPr>
        <w:t>https://pubmed.ncbi.nlm.nih.gov/42826016/</w:t>
      </w:r>
    </w:p>
    <w:p>
      <w:pPr>
        <w:pStyle w:val="Heading1"/>
      </w:pPr>
      <w:r>
        <w:t>Aufgenommen am 04.10.2026</w:t>
      </w:r>
    </w:p>
    <w:p>
      <w:pPr>
        <w:pStyle w:val="Heading2"/>
      </w:pPr>
      <w:r>
        <w:t>Frühe Multimodaltherapie mit drei Vasopressoren senkt Laktat und verbessert Organfunktion bei Septischem Schock</w:t>
      </w:r>
    </w:p>
    <w:p>
      <w:r>
        <w:rPr>
          <w:i/>
          <w:color w:val="666666"/>
          <w:sz w:val="18"/>
        </w:rPr>
        <w:t>Kalamar Ž et al.  ·  Crit Care  ·  07.09.2026  ·  PMID 42827265</w:t>
      </w:r>
    </w:p>
    <w:p>
      <w:r>
        <w:t>Randomisierte Phase-II-Studie (TRICYCLE) mit 79 Patienten in Intensivstationen; Vergleich früher Gabe von Angiotensin II, Vasopressin und Noradrenalin (Interventionsgruppe) gegen schrittweise Eskalation (Kontrolle) bei septischem Schock.</w:t>
      </w:r>
    </w:p>
    <w:p>
      <w:r>
        <w:rPr>
          <w:b/>
        </w:rPr>
        <w:t xml:space="preserve">Ergebnis: </w:t>
      </w:r>
      <w:r>
        <w:t>Schnellerer Rückgang Plasma-Renin 2,61 %/h vs. 1,67 %/h (p=0,015), Laktat 1,53 %/h vs. 1,01 %/h (p=0,006) in den ersten 72 h. SOFA-Score Reduktion: −3 Punkte vs. 0 (p=0,018). Tachyarrhythmien signifikant seltener (15,6 % vs. 68,6 %, p&lt;0,01). ICU-Mortalität 26,3 % vs. 41,5 %, 28-Tage-Mortalität 36,8 % vs. 46,3 % (keine Signifikanz). Physiologische Marker verbessert, klinische Mortalität nicht signifikant reduziert.</w:t>
      </w:r>
    </w:p>
    <w:p>
      <w:r>
        <w:rPr>
          <w:b/>
          <w:sz w:val="19"/>
        </w:rPr>
        <w:t xml:space="preserve">Übertragbarkeit: </w:t>
      </w:r>
      <w:r>
        <w:rPr>
          <w:sz w:val="19"/>
        </w:rPr>
        <w:t>Slowenien und Kroatien, vergleichbare Intensivmedizin; Behandlungsbündel-Ansatz übertragbar</w:t>
      </w:r>
    </w:p>
    <w:p>
      <w:r>
        <w:rPr>
          <w:color w:val="5A7D3A"/>
          <w:sz w:val="18"/>
        </w:rPr>
        <w:t>https://pubmed.ncbi.nlm.nih.gov/42827265/</w:t>
      </w:r>
    </w:p>
    <w:p>
      <w:pPr>
        <w:pStyle w:val="Heading2"/>
      </w:pPr>
      <w:r>
        <w:t>Immunreaktionen unter Checkpoint-Inhibitoren vorhersagen Überlebensvorteil unabhängig vom Alter</w:t>
      </w:r>
    </w:p>
    <w:p>
      <w:r>
        <w:rPr>
          <w:i/>
          <w:color w:val="666666"/>
          <w:sz w:val="18"/>
        </w:rPr>
        <w:t>Agbarya A et al.  ·  Front Immunol  ·  17.09.2026  ·  PMID 42824450</w:t>
      </w:r>
    </w:p>
    <w:p>
      <w:r>
        <w:t>Retrospektive multizentrische Studie mit 452 älteren und jüngeren Patienten mit metastasiertem nicht-kleinzelligem Lungenkarzinom unter Checkpoint-Inhibitoren; Analyse, ob Immunnebenwirkungen (irAEs) mit Progression Free und Overall Survival korrelieren.</w:t>
      </w:r>
    </w:p>
    <w:p>
      <w:r>
        <w:rPr>
          <w:b/>
        </w:rPr>
        <w:t xml:space="preserve">Ergebnis: </w:t>
      </w:r>
      <w:r>
        <w:t>344 Patienten &lt;75 Jahre, 108 ≥75 Jahre. Patienten ≥75 Jahre häufiger &gt;2 verschiedene irAE-Typen. Median PFS 12,0 und OS 15,0 Monate gesamt; OS signifikant kürzer in Gruppe ≥75 Jahren (p=0,008). Auftreten irAEs assoziiert mit verbesserter PFS und OS in beiden Altersgruppen; höhere irAE-Last (&gt;2 Typen) numerisch länger mit Überleben assoziiert.</w:t>
      </w:r>
    </w:p>
    <w:p>
      <w:r>
        <w:rPr>
          <w:b/>
          <w:sz w:val="19"/>
        </w:rPr>
        <w:t xml:space="preserve">Übertragbarkeit: </w:t>
      </w:r>
      <w:r>
        <w:rPr>
          <w:sz w:val="19"/>
        </w:rPr>
        <w:t>Israel, prospektives Design; Immunverträglichkeit als Prognosemarker übertragbar</w:t>
      </w:r>
    </w:p>
    <w:p>
      <w:r>
        <w:rPr>
          <w:color w:val="5A7D3A"/>
          <w:sz w:val="18"/>
        </w:rPr>
        <w:t>https://pubmed.ncbi.nlm.nih.gov/42824450/</w:t>
      </w:r>
    </w:p>
    <w:p>
      <w:pPr>
        <w:pStyle w:val="Heading2"/>
      </w:pPr>
      <w:r>
        <w:t>Impffehlquoten durch Arbeitsüberlastung und prekäre Bedingungen in Primärversorgung</w:t>
      </w:r>
    </w:p>
    <w:p>
      <w:r>
        <w:rPr>
          <w:i/>
          <w:color w:val="666666"/>
          <w:sz w:val="18"/>
        </w:rPr>
        <w:t>Cirino FMSB et al.  ·  Rev Bras Enferm  ·  28.09.2026  ·  PMID 42820566</w:t>
      </w:r>
    </w:p>
    <w:p>
      <w:r>
        <w:t>Reflexive brasilianische Studie über Impffehlquoten in der Grundversorgung; kritische Analyse der Arbeitsbedingungen von Pflegefachpersonen und organisatorischer Faktoren jenseits individueller Verantwortung.</w:t>
      </w:r>
    </w:p>
    <w:p>
      <w:r>
        <w:rPr>
          <w:b/>
        </w:rPr>
        <w:t xml:space="preserve">Ergebnis: </w:t>
      </w:r>
      <w:r>
        <w:t>Impffehlquoten nicht auf technische oder individuelle Fehler reduzierbar, sondern Ausdruck von Burnout durch prekäre Arbeitsbedingungen, Überarbeitung und ungleicher Ressourcenverteilung. Systemischer Ansatz erforderlich: Stärkung von Autonomie, würdige Arbeitsbedingungen und kritische Reflexionsräume für Sicherheitskultur.</w:t>
      </w:r>
    </w:p>
    <w:p>
      <w:r>
        <w:rPr>
          <w:b/>
          <w:sz w:val="19"/>
        </w:rPr>
        <w:t xml:space="preserve">Übertragbarkeit: </w:t>
      </w:r>
      <w:r>
        <w:rPr>
          <w:sz w:val="19"/>
        </w:rPr>
        <w:t>Brasilien; Arbeitsschutz und Fehlerkultur in Primärversorgung prinzipiell übertragbar</w:t>
      </w:r>
    </w:p>
    <w:p>
      <w:r>
        <w:rPr>
          <w:color w:val="5A7D3A"/>
          <w:sz w:val="18"/>
        </w:rPr>
        <w:t>https://pubmed.ncbi.nlm.nih.gov/42820566/</w:t>
      </w:r>
    </w:p>
    <w:p>
      <w:pPr>
        <w:pStyle w:val="Heading2"/>
      </w:pPr>
      <w:r>
        <w:t>Zellfreie DNA und HLA-DR vorhersagen Sepsis-Mortalität besser als Standardscores</w:t>
      </w:r>
    </w:p>
    <w:p>
      <w:r>
        <w:rPr>
          <w:i/>
          <w:color w:val="666666"/>
          <w:sz w:val="18"/>
        </w:rPr>
        <w:t>Peng X et al.  ·  J Int Med Res  ·  30.09.2026  ·  PMID 42816759</w:t>
      </w:r>
    </w:p>
    <w:p>
      <w:r>
        <w:t>Prospektive chinesische Kohortenstudie mit 307 Sepsispatienten auf Intensivstationen; Messung von zellfreier DNA und monozyten-HLA-DR-Expression in den ersten 24 h und Vorhersagekraft für 28-Tage-Mortalität gegenüber etablierten Scores.</w:t>
      </w:r>
    </w:p>
    <w:p>
      <w:r>
        <w:rPr>
          <w:b/>
        </w:rPr>
        <w:t xml:space="preserve">Ergebnis: </w:t>
      </w:r>
      <w:r>
        <w:t>89 von 307 Patienten starben (28,99 %). Höhere zellfreie DNA und niedrigere mHLA-DR bei Verstorbenen. Kombiniertes Biomarker-Modell erhöhte AUC von 0,79 auf 0,88 (gegenüber klinischem Basis-Modell). Net Reclassification Improvement und Integrated Discrimination Improvement signifikant positiv. Interne Validierung bestätigt. Externe Validierung erforderlich.</w:t>
      </w:r>
    </w:p>
    <w:p>
      <w:r>
        <w:rPr>
          <w:b/>
          <w:sz w:val="19"/>
        </w:rPr>
        <w:t xml:space="preserve">Übertragbarkeit: </w:t>
      </w:r>
      <w:r>
        <w:rPr>
          <w:sz w:val="19"/>
        </w:rPr>
        <w:t>China, prospektives Design; Biomarkerkombinatoren für Risikostratifikation übertragbar</w:t>
      </w:r>
    </w:p>
    <w:p>
      <w:r>
        <w:rPr>
          <w:color w:val="5A7D3A"/>
          <w:sz w:val="18"/>
        </w:rPr>
        <w:t>https://pubmed.ncbi.nlm.nih.gov/42816759/</w:t>
      </w:r>
    </w:p>
    <w:p>
      <w:pPr>
        <w:pStyle w:val="Heading2"/>
      </w:pPr>
      <w:r>
        <w:t>Angemessene Antibiotikaauswahl reduziert unerwünschte Ereignisse bei COPD-Exazerbation um 41 %</w:t>
      </w:r>
    </w:p>
    <w:p>
      <w:r>
        <w:rPr>
          <w:i/>
          <w:color w:val="666666"/>
          <w:sz w:val="18"/>
        </w:rPr>
        <w:t>Perales-Muñoz R et al.  ·  Rev Esp Quimioter  ·  21.09.2026  ·  PMID 42768888</w:t>
      </w:r>
    </w:p>
    <w:p>
      <w:r>
        <w:t>Spanische Multizenterstudie an 4.136 Patienten mit akuter COPD-Exazerbation in Notfallaufnahmen; Auswertung, ob die Wahl des Antibiotikums nach nationalen Leitlinien mit 30-Tage-Ergebnissen (Rückfall, Wiederaufnahme, Tod) assoziiert ist.</w:t>
      </w:r>
    </w:p>
    <w:p>
      <w:r>
        <w:rPr>
          <w:b/>
        </w:rPr>
        <w:t xml:space="preserve">Ergebnis: </w:t>
      </w:r>
      <w:r>
        <w:t>56,9 % der aus der Notaufnahme entlassenen Patienten erhielten Antibiotika, 16,0 % inadäquat. Unerwünschte Ereignisse bei inadäquater Therapie 20,9 % vs. 13,3 % (p=0,019); adjustierte Risikoreduktion durch angemessene Auswahl: RR 0,59 (95%-CI 0,41–0,85, p=0,004). Einziger beeinflussbarer Faktor mit unabhängiger Schutzwirkung.</w:t>
      </w:r>
    </w:p>
    <w:p>
      <w:r>
        <w:rPr>
          <w:b/>
          <w:sz w:val="19"/>
        </w:rPr>
        <w:t xml:space="preserve">Übertragbarkeit: </w:t>
      </w:r>
      <w:r>
        <w:rPr>
          <w:sz w:val="19"/>
        </w:rPr>
        <w:t>Spanien, vergleichbare Notaufnahmesysteme; Leitlinienkonformität als Qualitätsindikator übertragbar</w:t>
      </w:r>
    </w:p>
    <w:p>
      <w:r>
        <w:rPr>
          <w:color w:val="5A7D3A"/>
          <w:sz w:val="18"/>
        </w:rPr>
        <w:t>https://pubmed.ncbi.nlm.nih.gov/42768888/</w:t>
      </w:r>
    </w:p>
    <w:p>
      <w:pPr>
        <w:pStyle w:val="Heading2"/>
      </w:pPr>
      <w:r>
        <w:t>Serratia-Bakteriämie: Stabile Inzidenz, 24 % Mortalität, Wirtsmerkmale bestimmen Ausgang</w:t>
      </w:r>
    </w:p>
    <w:p>
      <w:r>
        <w:rPr>
          <w:i/>
          <w:color w:val="666666"/>
          <w:sz w:val="18"/>
        </w:rPr>
        <w:t>Thiele IM et al.  ·  APMIS  ·  Aug. 2026  ·  PMID 42635016</w:t>
      </w:r>
    </w:p>
    <w:p>
      <w:r>
        <w:t>Populationsbasierte dänische Kohortenstudie (2010–2024) mit 188 Patienten mit Serratia-Bakteriämie; Erfassung klinischer Charakteristika, Infektfokus und 30-Tage-Mortalität nach Art der Akquisition (ambulant, healthcare-assoziiert, nosokomial).</w:t>
      </w:r>
    </w:p>
    <w:p>
      <w:r>
        <w:rPr>
          <w:b/>
        </w:rPr>
        <w:t xml:space="preserve">Ergebnis: </w:t>
      </w:r>
      <w:r>
        <w:t>Stabile jährliche Inzidenz 2,1/100.000 Personenjahre (95%-CI 1,8–2,5). Gemeinschaftserworben 38 %, nosokomial 37 %, Fokus Harnweg 25 %, Gallenwege 20 %, keine Fokusidentifikation 28 %. 30-Tage-Mortalität 24 %. Höheres Alter (RR 1,02 pro Jahr) und hoher Comorbidity-Index (RR 2,58, 95%-CI 1,01–6,63) mit erhöhter Mortalität assoziiert; Akquisitionsart nicht signifikant.</w:t>
      </w:r>
    </w:p>
    <w:p>
      <w:r>
        <w:rPr>
          <w:b/>
          <w:sz w:val="19"/>
        </w:rPr>
        <w:t xml:space="preserve">Übertragbarkeit: </w:t>
      </w:r>
      <w:r>
        <w:rPr>
          <w:sz w:val="19"/>
        </w:rPr>
        <w:t>Dänemark, Meldepflicht und Entschädigung ohne Verschuldensnachweis; Epidemiologie nicht direkt mit Deutschland vergleichbar</w:t>
      </w:r>
    </w:p>
    <w:p>
      <w:r>
        <w:rPr>
          <w:color w:val="5A7D3A"/>
          <w:sz w:val="18"/>
        </w:rPr>
        <w:t>https://pubmed.ncbi.nlm.nih.gov/42635016/</w:t>
      </w:r>
    </w:p>
    <w:p>
      <w:pPr>
        <w:pStyle w:val="Heading1"/>
      </w:pPr>
      <w:r>
        <w:t>Aufgenommen am 03.10.2026</w:t>
      </w:r>
    </w:p>
    <w:p>
      <w:pPr>
        <w:pStyle w:val="Heading2"/>
      </w:pPr>
      <w:r>
        <w:t>Strukturierte Intervention senkte 72-Stunden-Wiederaufnahmen bei Sepsis um 0,00112 pro Patient pro Monat</w:t>
      </w:r>
    </w:p>
    <w:p>
      <w:r>
        <w:rPr>
          <w:i/>
          <w:color w:val="666666"/>
          <w:sz w:val="18"/>
        </w:rPr>
        <w:t>Burns R et al.  ·  South Med J  ·  02.10.2026  ·  PMID 42826397</w:t>
      </w:r>
    </w:p>
    <w:p>
      <w:r>
        <w:t>Retrospektive Kohortenstudie mit unterbrochener Zeitreihenanalyse: Auswirkung einer Interventionsmaßnahme auf 72-Stunden-Wiederaufnahmen von Patienten mit Sepsis oder Pyelonephritis in einer US-amerikanischen Notaufnahme (2020–2023).</w:t>
      </w:r>
    </w:p>
    <w:p>
      <w:r>
        <w:rPr>
          <w:b/>
        </w:rPr>
        <w:t xml:space="preserve">Ergebnis: </w:t>
      </w:r>
      <w:r>
        <w:t>Von 39.818 Patienten hatten 4.907 (12,3 %) 72-Stunden-Wiederaufnahmen. Vor Intervention: Anstieg um 0,00054 pro Aufnahme pro Monat (p=0,30). Nach Interventionsimplementierung am 4. Mai 2021 sofortiger Rückgang um 0,0017 (p=0,75), dann nachhaltiger Rückgang um 0,00112 pro Aufnahme pro Monat (p=0,04). Für Sepsis spezifisch: nachhaltiger Rückgang von 0,0033 pro Aufnahme pro Monat (p=0,02). Intervention war mit nachhaltiger Reduktion der Wiederaufnahmen assoziiert.</w:t>
      </w:r>
    </w:p>
    <w:p>
      <w:r>
        <w:rPr>
          <w:b/>
          <w:sz w:val="19"/>
        </w:rPr>
        <w:t xml:space="preserve">Übertragbarkeit: </w:t>
      </w:r>
      <w:r>
        <w:rPr>
          <w:sz w:val="19"/>
        </w:rPr>
        <w:t>USA, Wiederaufnahme-Messung übertragbar, Interventionsdetails fehlen</w:t>
      </w:r>
    </w:p>
    <w:p>
      <w:r>
        <w:rPr>
          <w:color w:val="5A7D3A"/>
          <w:sz w:val="18"/>
        </w:rPr>
        <w:t>https://pubmed.ncbi.nlm.nih.gov/42826397/</w:t>
      </w:r>
    </w:p>
    <w:p>
      <w:pPr>
        <w:pStyle w:val="Heading2"/>
      </w:pPr>
      <w:r>
        <w:t>Antibiotic Stewardship bei geschlossenen Gesichtsfrakturen reduziert Schaden ohne Infektionsschutz</w:t>
      </w:r>
    </w:p>
    <w:p>
      <w:r>
        <w:rPr>
          <w:i/>
          <w:color w:val="666666"/>
          <w:sz w:val="18"/>
        </w:rPr>
        <w:t>Isaac JI et al.  ·  South Med J  ·  02.10.2026  ·  PMID 42826395</w:t>
      </w:r>
    </w:p>
    <w:p>
      <w:r>
        <w:t>Systematische Übersicht von sieben US-amerikanischen Studien mit 3.274 Patienten zu prophylaktischen Antibiotika bei nicht-operativ behandelten Gesichtsfrakturen: Frakturen-assoziierte Infektionsrate 1,0 %, ohne Nutzen der Antibiotikaprophylaxe.</w:t>
      </w:r>
    </w:p>
    <w:p>
      <w:r>
        <w:rPr>
          <w:b/>
        </w:rPr>
        <w:t xml:space="preserve">Ergebnis: </w:t>
      </w:r>
      <w:r>
        <w:t>Infektionsraten waren niedrig (1,0 % in der größten prospektiven Kohortenstudie) und wurden durch Prophylaxe nicht gesenkt (angepasstes Odds Ratio 1,24–1,32). Längere Antibiotikaexposition war mit isolierten Fällen von Clostridioides-difficile-Kolitis assoziiert. Verfügbare Evidenz unterstützt keine routinemäßige Prophylaxe für unkomplizierte, nicht-operative Gesichtsfrakturen.</w:t>
      </w:r>
    </w:p>
    <w:p>
      <w:r>
        <w:rPr>
          <w:b/>
          <w:sz w:val="19"/>
        </w:rPr>
        <w:t xml:space="preserve">Übertragbarkeit: </w:t>
      </w:r>
      <w:r>
        <w:rPr>
          <w:sz w:val="19"/>
        </w:rPr>
        <w:t>USA-Daten, Prinzip aber übertragbar: vermeidbarer Schaden durch unnötige Antibiotikaexposition</w:t>
      </w:r>
    </w:p>
    <w:p>
      <w:r>
        <w:rPr>
          <w:color w:val="5A7D3A"/>
          <w:sz w:val="18"/>
        </w:rPr>
        <w:t>https://pubmed.ncbi.nlm.nih.gov/42826395/</w:t>
      </w:r>
    </w:p>
    <w:p>
      <w:pPr>
        <w:pStyle w:val="Heading2"/>
      </w:pPr>
      <w:r>
        <w:t>Hochantibiotika-Exposition bei niedriger Sepsis-Inzidenz in Neugeborenen-Intensivstationen Ungarns</w:t>
      </w:r>
    </w:p>
    <w:p>
      <w:r>
        <w:rPr>
          <w:i/>
          <w:color w:val="666666"/>
          <w:sz w:val="18"/>
        </w:rPr>
        <w:t>Mari J et al.  ·  Eur J Pediatr  ·  02.10.2026  ·  PMID 42825830</w:t>
      </w:r>
    </w:p>
    <w:p>
      <w:r>
        <w:t>Nationale Registry-Analyse der Antibiotika-Exposition bei Neugeborenen mit früher Sepsis in Ungarn (2020–2023): 0,41 Fälle pro 1.000 Lebendgeburten, aber 63,9 % aller auf Intensivstationen behandelten Neugeborenen erhielten Antibiotika.</w:t>
      </w:r>
    </w:p>
    <w:p>
      <w:r>
        <w:rPr>
          <w:b/>
        </w:rPr>
        <w:t xml:space="preserve">Ergebnis: </w:t>
      </w:r>
      <w:r>
        <w:t>Die Inzidenz der kultivierten early-onset sepsis (CP-EOS) betrug 0,41 pro 1.000 Lebendgeburten (0,20 bei ≥35 Wochen, 7,0 bei &lt;35 Wochen). Trotzdem erhalten 63,9 % der NICU-Neugeborenen Antibiotika im Median 5 (3–8) Tage. Ein Minimum von 3,2 % aller Neugeborenen Ungarns erhielten Antibiotika, und 15,6 % der Blutkulturen zeigten keine nachfolgende Antibiotikabehandlung. Die Studie dokumentiert unnötig hohe Antibiotika-Exposition bei geringer sepsis-Inzidenz und fordert Strategien zur Reduktion.</w:t>
      </w:r>
    </w:p>
    <w:p>
      <w:r>
        <w:rPr>
          <w:b/>
          <w:sz w:val="19"/>
        </w:rPr>
        <w:t xml:space="preserve">Übertragbarkeit: </w:t>
      </w:r>
      <w:r>
        <w:rPr>
          <w:sz w:val="19"/>
        </w:rPr>
        <w:t>Europäische Daten, vergleichbare neonatale Intensivmedizin, Antibiotic Stewardship-relevanz</w:t>
      </w:r>
    </w:p>
    <w:p>
      <w:r>
        <w:rPr>
          <w:color w:val="5A7D3A"/>
          <w:sz w:val="18"/>
        </w:rPr>
        <w:t>https://pubmed.ncbi.nlm.nih.gov/42825830/</w:t>
      </w:r>
    </w:p>
    <w:p>
      <w:pPr>
        <w:pStyle w:val="Heading2"/>
      </w:pPr>
      <w:r>
        <w:t>Sichere Praktiken in der intravenösen Arzneimitteltherapie: Asepsis, Labeling und Dokumentation verhindern Fehler</w:t>
      </w:r>
    </w:p>
    <w:p>
      <w:r>
        <w:rPr>
          <w:i/>
          <w:color w:val="666666"/>
          <w:sz w:val="18"/>
        </w:rPr>
        <w:t>Rocha HDSD et al.  ·  Rev Bras Enferm  ·  28.09.2026  ·  PMID 42820560</w:t>
      </w:r>
    </w:p>
    <w:p>
      <w:r>
        <w:t>Scoping Review nach JBI über sichere Praktiken bei intravenöser Arzneimitteltherapie bei hospitalisierten Erwachsenen: Analyse von 18 Studien zu Asepsis, Vorbereitung, Kennzeichnung, Applikation und Dokumentation.</w:t>
      </w:r>
    </w:p>
    <w:p>
      <w:r>
        <w:rPr>
          <w:b/>
        </w:rPr>
        <w:t xml:space="preserve">Ergebnis: </w:t>
      </w:r>
      <w:r>
        <w:t>Identifizierte sichere Praktiken während intravenöser Arzneimitteltherapie: Händehygiene, Doppelcheck, Medikamenten- und Patientenidentifikation, Prüfung der Zugangspermeabilität, Dokumentation der Verabreichung und Nebenwirkungen. Diese fünf Stufen (Aseptik, Vorbereitung, Labeling, Applikation, Dokumentation) werden als grundlegend für die Sicherheit hospitalisierter Patienten beschrieben.</w:t>
      </w:r>
    </w:p>
    <w:p>
      <w:r>
        <w:rPr>
          <w:b/>
          <w:sz w:val="19"/>
        </w:rPr>
        <w:t xml:space="preserve">Übertragbarkeit: </w:t>
      </w:r>
      <w:r>
        <w:rPr>
          <w:sz w:val="19"/>
        </w:rPr>
        <w:t>Brasilien, aber internationale Best-Practice-Synthese, direkt auf Deutschland übertragbar</w:t>
      </w:r>
    </w:p>
    <w:p>
      <w:r>
        <w:rPr>
          <w:color w:val="5A7D3A"/>
          <w:sz w:val="18"/>
        </w:rPr>
        <w:t>https://pubmed.ncbi.nlm.nih.gov/42820560/</w:t>
      </w:r>
    </w:p>
    <w:p>
      <w:pPr>
        <w:pStyle w:val="Heading2"/>
      </w:pPr>
      <w:r>
        <w:t>Candida-auris-Ausbruch mit Echinocandin-Resistenz in der Türkei dokumentiert Übertragungsdynamik</w:t>
      </w:r>
    </w:p>
    <w:p>
      <w:r>
        <w:rPr>
          <w:i/>
          <w:color w:val="666666"/>
          <w:sz w:val="18"/>
        </w:rPr>
        <w:t>Spruijtenburg B et al.  ·  Int J Infect Dis  ·  14.08.2026  ·  PMID 42600976</w:t>
      </w:r>
    </w:p>
    <w:p>
      <w:r>
        <w:t>Retrospektive Analyse eines C.-auris-Ausbruchs in einem türkischen Tertiärzentrum (April 2023 – September 2025): 119 Patienten mit Blutstrominfektion, Genotypisierung zeigte Ausbreitung eines Einzelstamms über 21 Stationen ohne Neueinschleppung.</w:t>
      </w:r>
    </w:p>
    <w:p>
      <w:r>
        <w:rPr>
          <w:b/>
        </w:rPr>
        <w:t xml:space="preserve">Ergebnis: </w:t>
      </w:r>
      <w:r>
        <w:t>119 Patienten mit C.-auris-Blutstrominfektion, 30-Tage-Mortalität 54 %. Alle Isolate waren Fluconazol-resistent; zwei Patienten mit vorheriger Echinocandin-Exposition hatten Echinocandin-resistente Isolate (FKS1S639P). Genotypisierung zeigte Clade I mit drei eng verwandten Genotypen; epidemiologische Rückverfolgung und molekulares Typing zeigten, dass ein Ausbruchspatient die Quelle war und sich der Stamm ohne weitere Einschleppungen über mehrere Stationen ausbreitete. Erkannte Übertragungsdynamik unterstreicht Notwendigkeit stärkerer Infektionsprävention.</w:t>
      </w:r>
    </w:p>
    <w:p>
      <w:r>
        <w:rPr>
          <w:b/>
          <w:sz w:val="19"/>
        </w:rPr>
        <w:t xml:space="preserve">Übertragbarkeit: </w:t>
      </w:r>
      <w:r>
        <w:rPr>
          <w:sz w:val="19"/>
        </w:rPr>
        <w:t>Türkei (Europa), Ausbruch-Management relevant, Meldepflichten unterscheiden sich</w:t>
      </w:r>
    </w:p>
    <w:p>
      <w:r>
        <w:rPr>
          <w:color w:val="5A7D3A"/>
          <w:sz w:val="18"/>
        </w:rPr>
        <w:t>https://pubmed.ncbi.nlm.nih.gov/42600976/</w:t>
      </w:r>
    </w:p>
    <w:p>
      <w:pPr>
        <w:pStyle w:val="Heading1"/>
      </w:pPr>
      <w:r>
        <w:t>Aufgenommen am 02.10.2026</w:t>
      </w:r>
    </w:p>
    <w:p>
      <w:pPr>
        <w:pStyle w:val="Heading2"/>
      </w:pPr>
      <w:r>
        <w:t>Dediziertes Wechsel-Team senkte Dekubitalulzera auf Intensivstationen um 42 Prozent</w:t>
      </w:r>
    </w:p>
    <w:p>
      <w:r>
        <w:rPr>
          <w:i/>
          <w:color w:val="666666"/>
          <w:sz w:val="18"/>
        </w:rPr>
        <w:t>Tapper GM et al.  ·  Dimens Crit Care Nurs  ·  30.09.2026  ·  PMID 42821859</w:t>
      </w:r>
    </w:p>
    <w:p>
      <w:r>
        <w:t>24-Bett-Herzintensivstation führte nichtmedizinisches Team zur regelmäßigen Patientenumlagerung und Mobilisierung ein; untersucht wurde Effekt auf nosokomiale Druckgeschwüre vor und nach Intervention bei unkontrolliert vielen Patientenaufnahmen.</w:t>
      </w:r>
    </w:p>
    <w:p>
      <w:r>
        <w:rPr>
          <w:b/>
        </w:rPr>
        <w:t xml:space="preserve">Ergebnis: </w:t>
      </w:r>
      <w:r>
        <w:t>Dekubitusrate sank um 42% (p=0,043). Nach Adjustment für Tagesbelegung sank das tägliche Risiko von 6,74% auf 4,03% (adjustierte OR 0,581; 95%-KI 0,33-1,02; p=0,059). Pflegekräfte bewerteten Teamzusammenarbeit und Produktivitätssteigerung positiv in Umfragen.</w:t>
      </w:r>
    </w:p>
    <w:p>
      <w:r>
        <w:rPr>
          <w:b/>
          <w:sz w:val="19"/>
        </w:rPr>
        <w:t xml:space="preserve">Übertragbarkeit: </w:t>
      </w:r>
      <w:r>
        <w:rPr>
          <w:sz w:val="19"/>
        </w:rPr>
        <w:t>USA (Cleveland Clinic Abu Dhabi); Organisationsmodell ist systemunabhängig übertragbar</w:t>
      </w:r>
    </w:p>
    <w:p>
      <w:r>
        <w:rPr>
          <w:color w:val="5A7D3A"/>
          <w:sz w:val="18"/>
        </w:rPr>
        <w:t>https://pubmed.ncbi.nlm.nih.gov/42821859/</w:t>
      </w:r>
    </w:p>
    <w:p>
      <w:pPr>
        <w:pStyle w:val="Heading2"/>
      </w:pPr>
      <w:r>
        <w:t>Entzündungs-Ernährungs-Index am dritten postoperativen Tag sagt Wundkomplikationen voraus</w:t>
      </w:r>
    </w:p>
    <w:p>
      <w:r>
        <w:rPr>
          <w:i/>
          <w:color w:val="666666"/>
          <w:sz w:val="18"/>
        </w:rPr>
        <w:t>Gönüllü ME et al.  ·  Langenbecks Arch Surg  ·  01.09.2026  ·  PMID 42821143</w:t>
      </w:r>
    </w:p>
    <w:p>
      <w:r>
        <w:t>Retrospektive Beobachtungsstudie in zwei türkischen Chirurgiefachbereichen mit 86 Patienten (Januar 2020–Dezember 2025) evaluierte einen neuen Wound Inflammation-Nutrition Index (WINA) und dessen Änderung zwischen postoperativem Tag 1 und 3 (ΔWINA) zur Vorhersage von Wundkomplikationen.</w:t>
      </w:r>
    </w:p>
    <w:p>
      <w:r>
        <w:rPr>
          <w:b/>
        </w:rPr>
        <w:t xml:space="preserve">Ergebnis: </w:t>
      </w:r>
      <w:r>
        <w:t>27,9% (n=24) entwickelten Wundkomplikationen. WINA-Werte an POD1/POD3 und ΔWINA waren bei Komplikationen höher (alle p&lt;0,001). ΔWINA pro 100-Unit-Steigerung: adjustierte OR 2,12 (95%-KI 1,44–3,13; p=0,001). ΔWINA erreichte AUC 0,872 (95%-KI 0,789–0,941) mit 83,3% Sensitivität, 80,6% Spezifität.</w:t>
      </w:r>
    </w:p>
    <w:p>
      <w:r>
        <w:rPr>
          <w:b/>
          <w:sz w:val="19"/>
        </w:rPr>
        <w:t xml:space="preserve">Übertragbarkeit: </w:t>
      </w:r>
      <w:r>
        <w:rPr>
          <w:sz w:val="19"/>
        </w:rPr>
        <w:t>Türkei, europäisch angrenzend; Entzündungsmarker sind in Deutschland routinemäßig verfügbar</w:t>
      </w:r>
    </w:p>
    <w:p>
      <w:r>
        <w:rPr>
          <w:color w:val="5A7D3A"/>
          <w:sz w:val="18"/>
        </w:rPr>
        <w:t>https://pubmed.ncbi.nlm.nih.gov/42821143/</w:t>
      </w:r>
    </w:p>
    <w:p>
      <w:pPr>
        <w:pStyle w:val="Heading2"/>
      </w:pPr>
      <w:r>
        <w:t>Carbapenem-Audit veränderte Gram-negative Resistenzmuster, aber mit Ausweicheffekten</w:t>
      </w:r>
    </w:p>
    <w:p>
      <w:r>
        <w:rPr>
          <w:i/>
          <w:color w:val="666666"/>
          <w:sz w:val="18"/>
        </w:rPr>
        <w:t>Keshavarzi F et al.  ·  Arch Microbiol  ·  01.10.2026  ·  PMID 42821075</w:t>
      </w:r>
    </w:p>
    <w:p>
      <w:r>
        <w:t>Malaysisches Uniklinikum untersuchte 6 Jahre (2015-2020), wie ein Post-Prescription-Audit für Carbapeneme die Anfälligkeit von sieben Gram-negativen Erregern verändert; Analyse mittels unterbrochener Zeitreihen und ARIMA-Modellierung.</w:t>
      </w:r>
    </w:p>
    <w:p>
      <w:r>
        <w:rPr>
          <w:b/>
        </w:rPr>
        <w:t xml:space="preserve">Ergebnis: </w:t>
      </w:r>
      <w:r>
        <w:t>Audit war mit erregerspezifischen Trend-Umkehrungen verbunden. Proteus mirabilis-Imipenem-Empfindlichkeit erholte sich (β=9,465; p=0,005). Klebsiella pneumoniae und Pseudomonas aeruginosa zeigten Abwärts-Trend-Umkehrungen trotz steigender Baselines. Ökologische Verschiebungen auf Fluoroquinolone und β-Laktam/β-Laktamase-Inhibitoren traten auf (P. mirabilis Amoxicillin-Clavulanat β=−43,023; p=0,024).</w:t>
      </w:r>
    </w:p>
    <w:p>
      <w:r>
        <w:rPr>
          <w:b/>
          <w:sz w:val="19"/>
        </w:rPr>
        <w:t xml:space="preserve">Übertragbarkeit: </w:t>
      </w:r>
      <w:r>
        <w:rPr>
          <w:sz w:val="19"/>
        </w:rPr>
        <w:t>Malaysia, vergleichbar mit deutschen Stewardship-Audits; zeigt Grenzen und Verschiebungsrisiken</w:t>
      </w:r>
    </w:p>
    <w:p>
      <w:r>
        <w:rPr>
          <w:color w:val="5A7D3A"/>
          <w:sz w:val="18"/>
        </w:rPr>
        <w:t>https://pubmed.ncbi.nlm.nih.gov/42821075/</w:t>
      </w:r>
    </w:p>
    <w:p>
      <w:pPr>
        <w:pStyle w:val="Heading2"/>
      </w:pPr>
      <w:r>
        <w:t>Digitale Automatisierung klinischer Pfade erhöhte Adherence an Protokolle um 63 Prozent</w:t>
      </w:r>
    </w:p>
    <w:p>
      <w:r>
        <w:rPr>
          <w:i/>
          <w:color w:val="666666"/>
          <w:sz w:val="18"/>
        </w:rPr>
        <w:t>Eduardo AA et al.  ·  Einstein (Sao Paulo)  ·  25.09.2026  ·  PMID 42820545</w:t>
      </w:r>
    </w:p>
    <w:p>
      <w:r>
        <w:t>Brasilianisches Universitätskrankenhaus implementierte ein Clinical-Decision-Support-System für Adipositas-Primärversorgung; Vergleich Labortestbestellmuster vor (2023) und nach (2024) Automatisierung bei Hunderten von Besuchen.</w:t>
      </w:r>
    </w:p>
    <w:p>
      <w:r>
        <w:rPr>
          <w:b/>
        </w:rPr>
        <w:t xml:space="preserve">Ergebnis: </w:t>
      </w:r>
      <w:r>
        <w:t>Adherente Tests stiegen um 63% (IRR 1,63; 95%-KI 1,37–1,96; p&lt;0,001). Median adherente Tests pro Besuch: vorher 1,0, nachher 3,0 (p=0,027). Perplexity sank von 70,9 auf 57,6, zeigend konzentriertere Testbestellungen auf Protokollgrundlage. Von den Top-10 Wachstumstests waren 9/10 protokollbasiert.</w:t>
      </w:r>
    </w:p>
    <w:p>
      <w:r>
        <w:rPr>
          <w:b/>
          <w:sz w:val="19"/>
        </w:rPr>
        <w:t xml:space="preserve">Übertragbarkeit: </w:t>
      </w:r>
      <w:r>
        <w:rPr>
          <w:sz w:val="19"/>
        </w:rPr>
        <w:t>Brasilien, Sozialversicherung; digitale Steuerung von Diagnostik ist in Deutschland relevant</w:t>
      </w:r>
    </w:p>
    <w:p>
      <w:r>
        <w:rPr>
          <w:color w:val="5A7D3A"/>
          <w:sz w:val="18"/>
        </w:rPr>
        <w:t>https://pubmed.ncbi.nlm.nih.gov/42820545/</w:t>
      </w:r>
    </w:p>
    <w:p>
      <w:pPr>
        <w:pStyle w:val="Heading2"/>
      </w:pPr>
      <w:r>
        <w:t>Laboroptimierung senkte Sterblichkeit bei Blutstrominfektion um 17 Prozent</w:t>
      </w:r>
    </w:p>
    <w:p>
      <w:r>
        <w:rPr>
          <w:i/>
          <w:color w:val="666666"/>
          <w:sz w:val="18"/>
        </w:rPr>
        <w:t>Shao J et al.  ·  Front Cell Infect Microbiol  ·  16.09.2026  ·  PMID 42819223</w:t>
      </w:r>
    </w:p>
    <w:p>
      <w:r>
        <w:t>Zehn Krankenhäuser in China optimierten ihre Blutkultur-Laborabläufe durch 24/7-Bearbeitung, schnelle MALDI-TOF-Massenspektrometrie und parallele Antibiogramme; untersucht wurden Auswirkungen auf Sterblichkeit, Kosten und Antibiotikagebrauch bei 1826 Patienten mit Sepsis.</w:t>
      </w:r>
    </w:p>
    <w:p>
      <w:r>
        <w:rPr>
          <w:b/>
        </w:rPr>
        <w:t xml:space="preserve">Ergebnis: </w:t>
      </w:r>
      <w:r>
        <w:t>In-Hospital-Mortalität sank von 19,5% auf 13,1% (p=0,002). Zeiten bis zur Erregererkennung wurden um 11-18,5 Stunden verkürzt. Gesamtkrankenhauskosten sanken signifikant (p=0,003), Antibiotikaausgaben nach statistischer Adjustment um p&lt;0,001. Längenaufenthalt und Laborkosten zeigten keine signifikanten Unterschiede.</w:t>
      </w:r>
    </w:p>
    <w:p>
      <w:r>
        <w:rPr>
          <w:b/>
          <w:sz w:val="19"/>
        </w:rPr>
        <w:t xml:space="preserve">Übertragbarkeit: </w:t>
      </w:r>
      <w:r>
        <w:rPr>
          <w:sz w:val="19"/>
        </w:rPr>
        <w:t>China, vergleichbare Laborstruktur; Methode auf deutsches System übertragbar</w:t>
      </w:r>
    </w:p>
    <w:p>
      <w:r>
        <w:rPr>
          <w:color w:val="5A7D3A"/>
          <w:sz w:val="18"/>
        </w:rPr>
        <w:t>https://pubmed.ncbi.nlm.nih.gov/42819223/</w:t>
      </w:r>
    </w:p>
    <w:p>
      <w:pPr>
        <w:pStyle w:val="Heading2"/>
      </w:pPr>
      <w:r>
        <w:t>WHO-Checkliste mit geschulten Teams hob Sicherheitskultur in OP um 12 Prozentpunkte</w:t>
      </w:r>
    </w:p>
    <w:p>
      <w:r>
        <w:rPr>
          <w:i/>
          <w:color w:val="666666"/>
          <w:sz w:val="18"/>
        </w:rPr>
        <w:t>Aouicha W et al.  ·  J Nurs Manag  ·  2026  ·  PMID 42817022</w:t>
      </w:r>
    </w:p>
    <w:p>
      <w:r>
        <w:t>Zwei tunesische Krankenhäuser führten ein Implementierungsbündel mit Surgical Safety Checklist, Teamtraining, Mentoring und Audit durch; 347 Fachkräfte (Ärzte, Anästhesisten, Pflegende) wurden befragt zu Sicherheitswahrnehmung in 12 Operationssälen über 21 Monate.</w:t>
      </w:r>
    </w:p>
    <w:p>
      <w:r>
        <w:rPr>
          <w:b/>
        </w:rPr>
        <w:t xml:space="preserve">Ergebnis: </w:t>
      </w:r>
      <w:r>
        <w:t>Gesamtwahrnehmte Sicherheit stieg von 70,7% auf 82,4% (postintervention) und stabilisierte sich. Vier Dimensionen verbesserten sich signifikant: Organisationales Lernen von 37,7% auf 50,6%, Teamwork innerhalb von 47,6% auf 59,1%, Kommunikationsopenness von 27,2% auf 46,2%, Teamwork übergreifend von 29,2% auf 37,5%.</w:t>
      </w:r>
    </w:p>
    <w:p>
      <w:r>
        <w:rPr>
          <w:b/>
          <w:sz w:val="19"/>
        </w:rPr>
        <w:t xml:space="preserve">Übertragbarkeit: </w:t>
      </w:r>
      <w:r>
        <w:rPr>
          <w:sz w:val="19"/>
        </w:rPr>
        <w:t>Nordafrika, multilingual; Settings mit Ressourcenknappheit wie deutsche Bundesländer</w:t>
      </w:r>
    </w:p>
    <w:p>
      <w:r>
        <w:rPr>
          <w:color w:val="5A7D3A"/>
          <w:sz w:val="18"/>
        </w:rPr>
        <w:t>https://pubmed.ncbi.nlm.nih.gov/42817022/</w:t>
      </w:r>
    </w:p>
    <w:p>
      <w:pPr>
        <w:pStyle w:val="Heading1"/>
      </w:pPr>
      <w:r>
        <w:t>Aufgenommen am 01.10.2026</w:t>
      </w:r>
    </w:p>
    <w:p>
      <w:pPr>
        <w:pStyle w:val="Heading2"/>
      </w:pPr>
      <w:r>
        <w:t>Defensive Medizin bei Geburtshelferinnen und Frauenärztinnen: Arbeitsunzufriedenheit steigert Schutzverhalten stark</w:t>
      </w:r>
    </w:p>
    <w:p>
      <w:r>
        <w:rPr>
          <w:i/>
          <w:color w:val="666666"/>
          <w:sz w:val="18"/>
        </w:rPr>
        <w:t>Cenger CD et al.  ·  JMIR Form Res  ·  30.09.2026  ·  PMID 42814963</w:t>
      </w:r>
    </w:p>
    <w:p>
      <w:r>
        <w:t>Cross-sectional-Studie (n=1069) unter Fachleuten in Geburtsmedizin in Istanbul; multivariable lineare Regressionsmodelle zur Identifikation unabhängig assoziierter Faktoren.</w:t>
      </w:r>
    </w:p>
    <w:p>
      <w:r>
        <w:rPr>
          <w:b/>
        </w:rPr>
        <w:t xml:space="preserve">Ergebnis: </w:t>
      </w:r>
      <w:r>
        <w:t>Mittlerer TDMPAS-Score 48,12 (SD 10,59). Unzufriedenheit mit Arbeitsbedingungen war unabhängig mit höheren defensive-medicine-Scores assoziiert (B=6,62; 95%-KI 4,19–9,05; p&lt;0,001), ebenso frühere Verwaltungsuntersuchungen (B=3,44; 95%-KI 1,37–5,50; p=0,001). Haftungsschulung (B=-2,18; p=0,002) und höhere Berufserfahrung (B=-0,15 pro Jahr; p=0,03) waren protektiv. Modell erklärte 17,6 % der Varianz.</w:t>
      </w:r>
    </w:p>
    <w:p>
      <w:r>
        <w:rPr>
          <w:b/>
          <w:sz w:val="19"/>
        </w:rPr>
        <w:t xml:space="preserve">Übertragbarkeit: </w:t>
      </w:r>
      <w:r>
        <w:rPr>
          <w:sz w:val="19"/>
        </w:rPr>
        <w:t>Türkei, Haftungsklima analog zu DACH, Defensive Medicine ähnlich häufig</w:t>
      </w:r>
    </w:p>
    <w:p>
      <w:r>
        <w:rPr>
          <w:color w:val="5A7D3A"/>
          <w:sz w:val="18"/>
        </w:rPr>
        <w:t>https://pubmed.ncbi.nlm.nih.gov/42814963/</w:t>
      </w:r>
    </w:p>
    <w:p>
      <w:pPr>
        <w:pStyle w:val="Heading2"/>
      </w:pPr>
      <w:r>
        <w:t>Druckgeschwüre als Zwischenfälle: 24 % aller gemeldeten unerwünschten Ereignisse in Spezialkrankenhaus</w:t>
      </w:r>
    </w:p>
    <w:p>
      <w:r>
        <w:rPr>
          <w:i/>
          <w:color w:val="666666"/>
          <w:sz w:val="18"/>
        </w:rPr>
        <w:t>Sowińska IM et al.  ·  PLoS One  ·  30.09.2026  ·  PMID 42814750</w:t>
      </w:r>
    </w:p>
    <w:p>
      <w:r>
        <w:t>Retrospektive Analyse von 1272 gemeldeten unerwünschten Ereignissen (2013–2020) in einem polnischen Spezialkrankenhaus; 305 davon (24 %) waren erworbene Druckgeschwüre.</w:t>
      </w:r>
    </w:p>
    <w:p>
      <w:r>
        <w:rPr>
          <w:b/>
        </w:rPr>
        <w:t xml:space="preserve">Ergebnis: </w:t>
      </w:r>
      <w:r>
        <w:t>Patienten mit Druckgeschwüren hatten signifikant längere Krankenhausaufenthalte (18,64 vs. 12,62 Tage; p &lt; 0,001) und mehr verordnete Medikamente (18,14 vs. 10,43; p &lt; 0,001). Im multivariaten Modell waren höheres Alter, prolongierte Hospitalisierung, höhere Medikamentenzahl und größere Komorbiditätslast unabhängig mit Druckgeschwüren assoziiert. Systematische Überwachung könnte Hochrisikopatienten identifizieren.</w:t>
      </w:r>
    </w:p>
    <w:p>
      <w:r>
        <w:rPr>
          <w:b/>
          <w:sz w:val="19"/>
        </w:rPr>
        <w:t xml:space="preserve">Übertragbarkeit: </w:t>
      </w:r>
      <w:r>
        <w:rPr>
          <w:sz w:val="19"/>
        </w:rPr>
        <w:t>Polen, vergleichbare Meldepflichten für unerwünschte Ereignisse</w:t>
      </w:r>
    </w:p>
    <w:p>
      <w:r>
        <w:rPr>
          <w:color w:val="5A7D3A"/>
          <w:sz w:val="18"/>
        </w:rPr>
        <w:t>https://pubmed.ncbi.nlm.nih.gov/42814750/</w:t>
      </w:r>
    </w:p>
    <w:p>
      <w:pPr>
        <w:pStyle w:val="Heading2"/>
      </w:pPr>
      <w:r>
        <w:t>Verzögerte Notfall-Kaiserschnitte und Fehldiagnosen führten 2025 zu häufigsten Arztfehlerurteilen in Malaysia</w:t>
      </w:r>
    </w:p>
    <w:p>
      <w:r>
        <w:rPr>
          <w:i/>
          <w:color w:val="666666"/>
          <w:sz w:val="18"/>
        </w:rPr>
        <w:t>Zainal Abidin H et al.  ·  Med J Malaysia  ·  Sept. 2026  ·  PMID 42813486</w:t>
      </w:r>
    </w:p>
    <w:p>
      <w:r>
        <w:t>Retrospektive Fallanalyse von 29 Haftungsfällen aus 2025 mit strukturiertem dreistufigem Kodierungsrahmen zur Erfassung von Rechenschaftspflicht und klinischer Governance.</w:t>
      </w:r>
    </w:p>
    <w:p>
      <w:r>
        <w:rPr>
          <w:b/>
        </w:rPr>
        <w:t xml:space="preserve">Ergebnis: </w:t>
      </w:r>
      <w:r>
        <w:t>22 Fälle in High Court, überwiegend öffentliche Krankenhäuser; Orthopädie (n=10), Geburtsmedizin (n=8), andere Chirurgie (n=6). Haftungsauslöser: zeitkritische Verzögerungen (Notfall-Kaiserschnitt, Gefäßbehandlung), Diagnostikversäumnisse (radiologische Untersuchungen, Sepsisverschleppung), unzureichende informed consent, unvollständige Dokumentation. Klinische Hosps wurden für Systemversäumnisse haftbar gemacht (non-delegable duty); Dokumentationsmängel galten als schwerwiegende Aggravation.</w:t>
      </w:r>
    </w:p>
    <w:p>
      <w:r>
        <w:rPr>
          <w:b/>
          <w:sz w:val="19"/>
        </w:rPr>
        <w:t xml:space="preserve">Übertragbarkeit: </w:t>
      </w:r>
      <w:r>
        <w:rPr>
          <w:sz w:val="19"/>
        </w:rPr>
        <w:t>Malaysia, Verschuldenshaftung wie Deutschland, wachsende Systemverantwortlichkeit</w:t>
      </w:r>
    </w:p>
    <w:p>
      <w:r>
        <w:rPr>
          <w:color w:val="5A7D3A"/>
          <w:sz w:val="18"/>
        </w:rPr>
        <w:t>https://pubmed.ncbi.nlm.nih.gov/42813486/</w:t>
      </w:r>
    </w:p>
    <w:p>
      <w:pPr>
        <w:pStyle w:val="Heading2"/>
      </w:pPr>
      <w:r>
        <w:t>Procalcitonin erkannt pädiatrische Sepsis mit mäßiger Genauigkeit – nutzbarer Zusatzmarker</w:t>
      </w:r>
    </w:p>
    <w:p>
      <w:r>
        <w:rPr>
          <w:i/>
          <w:color w:val="666666"/>
          <w:sz w:val="18"/>
        </w:rPr>
        <w:t>Razak SMA et al.  ·  Med J Malaysia  ·  Sept. 2026  ·  PMID 42813484</w:t>
      </w:r>
    </w:p>
    <w:p>
      <w:r>
        <w:t>Retrospektive Studie in malaysischer Tertiärklinik (Juni 2022–Juni 2024); 242 Kinder mit PCT-Test; ROC-Analyse und diagnostische Genauigkeit bei 0,5 ng/mL Cutoff.</w:t>
      </w:r>
    </w:p>
    <w:p>
      <w:r>
        <w:rPr>
          <w:b/>
        </w:rPr>
        <w:t xml:space="preserve">Ergebnis: </w:t>
      </w:r>
      <w:r>
        <w:t>129 (53,3 %) Sepsis-Fälle. Mittlere PCT-Werte höher bei Sepsis (1,940 vs. 0,240 ng/mL; p&lt;0,0001). Bei Cutoff 0,5 ng/mL: Sensitivität 76 %, Spezifität 73,5 %, PPV 76,6 %, NPV 72,8 %, PLR 2,86, NLR 0,33, Diagn. OR 8,75. ROC AUC 0,747 (95%-KI 0,692–0,802). PCT moderat positiv korreliert mit CRP (r=0,546), nicht mit Leukozytenzahl.</w:t>
      </w:r>
    </w:p>
    <w:p>
      <w:r>
        <w:rPr>
          <w:b/>
          <w:sz w:val="19"/>
        </w:rPr>
        <w:t xml:space="preserve">Übertragbarkeit: </w:t>
      </w:r>
      <w:r>
        <w:rPr>
          <w:sz w:val="19"/>
        </w:rPr>
        <w:t>Malaysia, pädiatrische Bevölkerung, PCT als klinisches Adjuvans übertragbar</w:t>
      </w:r>
    </w:p>
    <w:p>
      <w:r>
        <w:rPr>
          <w:color w:val="5A7D3A"/>
          <w:sz w:val="18"/>
        </w:rPr>
        <w:t>https://pubmed.ncbi.nlm.nih.gov/42813484/</w:t>
      </w:r>
    </w:p>
    <w:p>
      <w:pPr>
        <w:pStyle w:val="Heading2"/>
      </w:pPr>
      <w:r>
        <w:t>Magnesiummangel erhöht nosokomiale Spontanperitonitis und Sepsis bei Zirrhose</w:t>
      </w:r>
    </w:p>
    <w:p>
      <w:r>
        <w:rPr>
          <w:i/>
          <w:color w:val="666666"/>
          <w:sz w:val="18"/>
        </w:rPr>
        <w:t>Duan XJ et al.  ·  Front Immunol  ·  15.09.2026  ·  PMID 42812346</w:t>
      </w:r>
    </w:p>
    <w:p>
      <w:r>
        <w:t>Retrospektive Kohortenstudie (n=1110) von Zirrhosepatienten (Mai 2021–Juni 2025) mit Magnesiumspiegeln innerhalb 48 h nach Aufnahme; multivariable Regression und restricted cubic spline-Analyse.</w:t>
      </w:r>
    </w:p>
    <w:p>
      <w:r>
        <w:rPr>
          <w:b/>
        </w:rPr>
        <w:t xml:space="preserve">Ergebnis: </w:t>
      </w:r>
      <w:r>
        <w:t>HA-SBP-Inzidenz 12,25 %, Sepsis 6,06 %. Pro 1-SD Magnesiumeröhung sanken HA-SBP-Risiko um 20,8 % (OR=0,792; 95%-KI 0,642–0,970; p=0,026) und Sepsisrisiko um 35,5 % (OR=0,645; 95%-KI 0,464–0,883; p=0,008). Hypomagnesämie vs. Normomagnesämie: OR für HA-SBP 1,520 (p=0,044), für Sepsis 2,213 (p=0,013). Lineare inverse Beziehung in RCS-Analyse (beide p&gt;0,05). AUC für HA-SBP 0,635, für Sepsis 0,688.</w:t>
      </w:r>
    </w:p>
    <w:p>
      <w:r>
        <w:rPr>
          <w:b/>
          <w:sz w:val="19"/>
        </w:rPr>
        <w:t xml:space="preserve">Übertragbarkeit: </w:t>
      </w:r>
      <w:r>
        <w:rPr>
          <w:sz w:val="19"/>
        </w:rPr>
        <w:t>China, Sepsisrisikofaktor mit messbarem Effekt, Interventionspotenzial</w:t>
      </w:r>
    </w:p>
    <w:p>
      <w:r>
        <w:rPr>
          <w:color w:val="5A7D3A"/>
          <w:sz w:val="18"/>
        </w:rPr>
        <w:t>https://pubmed.ncbi.nlm.nih.gov/42812346/</w:t>
      </w:r>
    </w:p>
    <w:p>
      <w:pPr>
        <w:pStyle w:val="Heading2"/>
      </w:pPr>
      <w:r>
        <w:t>Zinkmangelassoziiert mit höherer Sepsismortalität – Frühaufgriff ermöglicht Intervention</w:t>
      </w:r>
    </w:p>
    <w:p>
      <w:r>
        <w:rPr>
          <w:i/>
          <w:color w:val="666666"/>
          <w:sz w:val="18"/>
        </w:rPr>
        <w:t>Tuan NV et al.  ·  Int J Infect Dis  ·  25.08.2026  ·  PMID 42641939</w:t>
      </w:r>
    </w:p>
    <w:p>
      <w:r>
        <w:t>Prospektive Kohortenstudie (n=120) zu Zinkspiegeln bei Sepsispatienten zwischen Aufnahme und Tag 3; Analysen mit gemischtem Modell und Cox-Regression.</w:t>
      </w:r>
    </w:p>
    <w:p>
      <w:r>
        <w:rPr>
          <w:b/>
        </w:rPr>
        <w:t xml:space="preserve">Ergebnis: </w:t>
      </w:r>
      <w:r>
        <w:t>Patienten, die bis Tag 7 starben, zeigten keine unterschiedlichen Ausgangszinkwerte, aber niedrigere Zinkwerte am Tag 3 (56,05 vs. 68,65 µg/dL; p=0,081) und geringere Zinkzunahme vom Aufnahme- bis Tag 3 (0,80 vs. 15,40 µg/dL; p=0,017). Höhere Zinkwerte am Tag 3 waren mit niedrigerer Mortalität assoziiert (HR pro 10 µg/dL 0,77; 95%-KI 0,60–0,97; p=0,028). Versatz der Zinktrajektor zeichnete signifikant unterschiedliche Kurven nach Ausgang (Interaktion p=0,0022).</w:t>
      </w:r>
    </w:p>
    <w:p>
      <w:r>
        <w:rPr>
          <w:b/>
          <w:sz w:val="19"/>
        </w:rPr>
        <w:t xml:space="preserve">Übertragbarkeit: </w:t>
      </w:r>
      <w:r>
        <w:rPr>
          <w:sz w:val="19"/>
        </w:rPr>
        <w:t>Vietnam mit deutschem Partnerzentrum, messbarer Frühmarker für Sepsisrisiko</w:t>
      </w:r>
    </w:p>
    <w:p>
      <w:r>
        <w:rPr>
          <w:color w:val="5A7D3A"/>
          <w:sz w:val="18"/>
        </w:rPr>
        <w:t>https://pubmed.ncbi.nlm.nih.gov/42641939/</w:t>
      </w:r>
    </w:p>
    <w:p>
      <w:pPr>
        <w:pStyle w:val="Heading1"/>
      </w:pPr>
      <w:r>
        <w:t>Aufgenommen am 30.09.2026</w:t>
      </w:r>
    </w:p>
    <w:p>
      <w:pPr>
        <w:pStyle w:val="Heading2"/>
      </w:pPr>
      <w:r>
        <w:t>Chirurgische Infektionen steigern Behandlungskosten nach Bauchoperationen um 29.600 Euro</w:t>
      </w:r>
    </w:p>
    <w:p>
      <w:r>
        <w:rPr>
          <w:i/>
          <w:color w:val="666666"/>
          <w:sz w:val="18"/>
        </w:rPr>
        <w:t>Bontekoning N et al.  ·  BJS Open  ·  04.09.2026  ·  PMID 42808217</w:t>
      </w:r>
    </w:p>
    <w:p>
      <w:r>
        <w:t>Sekundäranalyse der EPO2CH-Studie mit 1.119 Patienten quantifizierte Kosten und Lebensqualität nach elektiven Bauchoperationen mit Infektionen versus ohne.</w:t>
      </w:r>
    </w:p>
    <w:p>
      <w:r>
        <w:rPr>
          <w:b/>
        </w:rPr>
        <w:t xml:space="preserve">Ergebnis: </w:t>
      </w:r>
      <w:r>
        <w:t>Patienten mit Infektionen: durchschnittliche Kosten 53.562 Euro vs. 23.969 Euro ohne Infektionen (Differenz 29.592 Euro). Qualitätsverlust: 0,171 QALYs vs. 0,205 ohne Infektionen (Differenz -0,035), entsprechend 12,78 Tagen verlorener Gesundheit in 3 Monaten. Anastomoseninsuffizienz mit höchsten Kosten (56.401 Euro mehr).</w:t>
      </w:r>
    </w:p>
    <w:p>
      <w:r>
        <w:rPr>
          <w:b/>
          <w:sz w:val="19"/>
        </w:rPr>
        <w:t xml:space="preserve">Übertragbarkeit: </w:t>
      </w:r>
      <w:r>
        <w:rPr>
          <w:sz w:val="19"/>
        </w:rPr>
        <w:t>Niederländische Klinikdaten, vergleichbares Versicherungssystem</w:t>
      </w:r>
    </w:p>
    <w:p>
      <w:r>
        <w:rPr>
          <w:color w:val="5A7D3A"/>
          <w:sz w:val="18"/>
        </w:rPr>
        <w:t>https://pubmed.ncbi.nlm.nih.gov/42808217/</w:t>
      </w:r>
    </w:p>
    <w:p>
      <w:pPr>
        <w:pStyle w:val="Heading2"/>
      </w:pPr>
      <w:r>
        <w:t>Desinfektion der Reinigungswerkzeuge senkt Pathogenkontamination um 50 Prozent</w:t>
      </w:r>
    </w:p>
    <w:p>
      <w:r>
        <w:rPr>
          <w:i/>
          <w:color w:val="666666"/>
          <w:sz w:val="18"/>
        </w:rPr>
        <w:t>Zhang X et al.  ·  Front Public Health  ·  14.09.2026  ·  PMID 42807511</w:t>
      </w:r>
    </w:p>
    <w:p>
      <w:r>
        <w:t>Querschnittsstudie mit 5.000 Proben von wiederverwendbaren Reinigungswerkzeugen in Shanghaier Krankenhäusern ermittelte Kontaminationsquoten und Effektivität von Desinfektionsmethoden.</w:t>
      </w:r>
    </w:p>
    <w:p>
      <w:r>
        <w:rPr>
          <w:b/>
        </w:rPr>
        <w:t xml:space="preserve">Ergebnis: </w:t>
      </w:r>
      <w:r>
        <w:t>Gesamtkontaminationsquote 7,44%. Werkzeuge ohne routinemäßige Desinfektion: 1,859-fach höheres Infektionsrisiko (OR; 95%-KI 1,283–2,691). Disposable-Desinfektionstücher effektiver als Wischen mit Lappen (p=0,038). Interne Medizin und Chirurgie höheres Risiko als Intensivstation (OR 1,90 bzw. 1,92).</w:t>
      </w:r>
    </w:p>
    <w:p>
      <w:r>
        <w:rPr>
          <w:b/>
          <w:sz w:val="19"/>
        </w:rPr>
        <w:t xml:space="preserve">Übertragbarkeit: </w:t>
      </w:r>
      <w:r>
        <w:rPr>
          <w:sz w:val="19"/>
        </w:rPr>
        <w:t>China, Prinzipien universal, aber lokale Hygienestandards variabel</w:t>
      </w:r>
    </w:p>
    <w:p>
      <w:r>
        <w:rPr>
          <w:color w:val="5A7D3A"/>
          <w:sz w:val="18"/>
        </w:rPr>
        <w:t>https://pubmed.ncbi.nlm.nih.gov/42807511/</w:t>
      </w:r>
    </w:p>
    <w:p>
      <w:pPr>
        <w:pStyle w:val="Heading2"/>
      </w:pPr>
      <w:r>
        <w:t>Infektionsprävention kontrolierte ESBL-Klebsiella-Ausbruch auf Neugeborenen-Station in 2 Monaten</w:t>
      </w:r>
    </w:p>
    <w:p>
      <w:r>
        <w:rPr>
          <w:i/>
          <w:color w:val="666666"/>
          <w:sz w:val="18"/>
        </w:rPr>
        <w:t>Comelli A et al.  ·  Antimicrob Resist Infect Control  ·  29.09.2026  ·  PMID 42806396</w:t>
      </w:r>
    </w:p>
    <w:p>
      <w:r>
        <w:t>Retrospektive Fall-Kontroll-Studie eines Ausbruchs mit 44 bestätigten ESBL-Klebsiella-Fällen in einer Neugeborenen-Intensivstation in Bangui dokumentierte Maßnahmen zur Ausbruchkontrolle.</w:t>
      </w:r>
    </w:p>
    <w:p>
      <w:r>
        <w:rPr>
          <w:b/>
        </w:rPr>
        <w:t xml:space="preserve">Ergebnis: </w:t>
      </w:r>
      <w:r>
        <w:t>Inzidenz 29,7 Fälle pro 1.000 Patiententage. Mortalität in der Infektionsgruppe 3,5-fach höher. Überbelegung &gt;100% und schlechte Infektionsprävention initial. Nach IPC-Interventionen (erste Monatshälfte): Ausbruch in ~2 Monaten kontrolliert. 56,8% frühe Sepsis, maternale Risikofaktoren stärkster unabhängiger Risikofaktor.</w:t>
      </w:r>
    </w:p>
    <w:p>
      <w:r>
        <w:rPr>
          <w:b/>
          <w:sz w:val="19"/>
        </w:rPr>
        <w:t xml:space="preserve">Übertragbarkeit: </w:t>
      </w:r>
      <w:r>
        <w:rPr>
          <w:sz w:val="19"/>
        </w:rPr>
        <w:t>Mittel-Afrika, prinzipien auf Deutschland übertragbar, aber Ressourcenunterschiede erheblich</w:t>
      </w:r>
    </w:p>
    <w:p>
      <w:r>
        <w:rPr>
          <w:color w:val="5A7D3A"/>
          <w:sz w:val="18"/>
        </w:rPr>
        <w:t>https://pubmed.ncbi.nlm.nih.gov/42806396/</w:t>
      </w:r>
    </w:p>
    <w:p>
      <w:pPr>
        <w:pStyle w:val="Heading2"/>
      </w:pPr>
      <w:r>
        <w:t>Mitochondriale Proteine prognostizieren Sepsis-Mortalität: 72-Stunden-Vorhersage möglich</w:t>
      </w:r>
    </w:p>
    <w:p>
      <w:r>
        <w:rPr>
          <w:i/>
          <w:color w:val="666666"/>
          <w:sz w:val="18"/>
        </w:rPr>
        <w:t>Meems CJ et al.  ·  Crit Care  ·  29.08.2026  ·  PMID 42806380</w:t>
      </w:r>
    </w:p>
    <w:p>
      <w:r>
        <w:t>Post-hoc-Analyse der Acutelines-Biobank mit 213 Sepsis-Patienten untersuchte, ob Plasmaprofile mitochondrial-assoziierter Proteine (232 aus 5.416 gemessenen) mit Schweregrad und Kurzzeitausgang verbunden sind.</w:t>
      </w:r>
    </w:p>
    <w:p>
      <w:r>
        <w:rPr>
          <w:b/>
        </w:rPr>
        <w:t xml:space="preserve">Ergebnis: </w:t>
      </w:r>
      <w:r>
        <w:t>Mitochondrial-Protein-Score korrelierte mit Schweregrad (Spearman ρ 0,18–0,29; p&lt;0,01) und schlechteren 72-h-Ergebnissen: Organversagen-freies Überleben OR 0,57 pro Standardabweichung; ICU-Aufnahme OR 1,66; Mortalität OR 2,36. Zwei Cluster identifiziert, aber eher kontinuierliches Spektrum als diskrete Subphänotypen.</w:t>
      </w:r>
    </w:p>
    <w:p>
      <w:r>
        <w:rPr>
          <w:b/>
          <w:sz w:val="19"/>
        </w:rPr>
        <w:t xml:space="preserve">Übertragbarkeit: </w:t>
      </w:r>
      <w:r>
        <w:rPr>
          <w:sz w:val="19"/>
        </w:rPr>
        <w:t>Niederlande, europäisches Gesundheitssystem, methodisch vergleichbar</w:t>
      </w:r>
    </w:p>
    <w:p>
      <w:r>
        <w:rPr>
          <w:color w:val="5A7D3A"/>
          <w:sz w:val="18"/>
        </w:rPr>
        <w:t>https://pubmed.ncbi.nlm.nih.gov/42806380/</w:t>
      </w:r>
    </w:p>
    <w:p>
      <w:pPr>
        <w:pStyle w:val="Heading2"/>
      </w:pPr>
      <w:r>
        <w:t>Bluttransfusion bei krebskranken Sepsis-Patienten: restrictive Strategie nicht unterlegen</w:t>
      </w:r>
    </w:p>
    <w:p>
      <w:r>
        <w:rPr>
          <w:i/>
          <w:color w:val="666666"/>
          <w:sz w:val="18"/>
        </w:rPr>
        <w:t>Pène F et al.  ·  Intensive Care Med  ·  19.08.2026  ·  PMID 42616082</w:t>
      </w:r>
    </w:p>
    <w:p>
      <w:r>
        <w:t>Randomisierte Studie (TRANSPORT) mit 187 Patienten mit Krebs und septischem Schock verglich liberale versus restrictive RBC-Transfusionsstrategie auf Basis Hämoglobin-Schwellenwerte.</w:t>
      </w:r>
    </w:p>
    <w:p>
      <w:r>
        <w:rPr>
          <w:b/>
        </w:rPr>
        <w:t xml:space="preserve">Ergebnis: </w:t>
      </w:r>
      <w:r>
        <w:t>Liberale Gruppe (Hb 9,0): 52% mit 12-h-Laktat-Reduktion. Restrictive Gruppe (Hb 7,0): 50% (OR 1,07; KI 0,60–1,90; p=0,82). Thrombotische Ereignisse liberale: 13% vs. restrictive 1% (p=0,001). 28-Tage-Mortalität 46% vs. 53% (p=0,34). Studie vorzeitig wegen Sicherheitsbedenken gestoppt.</w:t>
      </w:r>
    </w:p>
    <w:p>
      <w:r>
        <w:rPr>
          <w:b/>
          <w:sz w:val="19"/>
        </w:rPr>
        <w:t xml:space="preserve">Übertragbarkeit: </w:t>
      </w:r>
      <w:r>
        <w:rPr>
          <w:sz w:val="19"/>
        </w:rPr>
        <w:t>Frankreich, europäisches Gesundheitssystem, Design übertragbar</w:t>
      </w:r>
    </w:p>
    <w:p>
      <w:r>
        <w:rPr>
          <w:color w:val="5A7D3A"/>
          <w:sz w:val="18"/>
        </w:rPr>
        <w:t>https://pubmed.ncbi.nlm.nih.gov/42616082/</w:t>
      </w:r>
    </w:p>
    <w:p>
      <w:pPr>
        <w:pStyle w:val="Heading2"/>
      </w:pPr>
      <w:r>
        <w:t>Pandemie änderte Sterberisiko viraler Sepsis: französische ICU-Kohortenstudie</w:t>
      </w:r>
    </w:p>
    <w:p>
      <w:r>
        <w:rPr>
          <w:i/>
          <w:color w:val="666666"/>
          <w:sz w:val="18"/>
        </w:rPr>
        <w:t>Al Rahmoun M et al.  ·  Int J Infect Dis  ·  16.08.2026  ·  PMID 42604654</w:t>
      </w:r>
    </w:p>
    <w:p>
      <w:r>
        <w:t>Analyse von 604.517 Patienten auf französischen Intensivstationen zeigte, dass COVID-19-Pandemie die Mortalitätsassoziation zwischen viraler und bakterieller Sepsis umkehrte.</w:t>
      </w:r>
    </w:p>
    <w:p>
      <w:r>
        <w:rPr>
          <w:b/>
        </w:rPr>
        <w:t xml:space="preserve">Ergebnis: </w:t>
      </w:r>
      <w:r>
        <w:t>Präpandemisch: virale Sepsis mit reduzierter In-Hospital-Mortalität vs. bakterieller Sepsis (aOR 0,63 bis 0,67). Während Pandemie: virale Sepsis (überwiegend COVID-19) mit erhöhter Mortalität (aOR 1,41 mit Koinfektionen). Gesamtmortalität stationär 29,2%, 90-Tage-Mortalität 34,0%.</w:t>
      </w:r>
    </w:p>
    <w:p>
      <w:r>
        <w:rPr>
          <w:b/>
          <w:sz w:val="19"/>
        </w:rPr>
        <w:t xml:space="preserve">Übertragbarkeit: </w:t>
      </w:r>
      <w:r>
        <w:rPr>
          <w:sz w:val="19"/>
        </w:rPr>
        <w:t>Französische Kohortendaten, europäisches Gesundheitssystem, direkt übertragbar</w:t>
      </w:r>
    </w:p>
    <w:p>
      <w:r>
        <w:rPr>
          <w:color w:val="5A7D3A"/>
          <w:sz w:val="18"/>
        </w:rPr>
        <w:t>https://pubmed.ncbi.nlm.nih.gov/42604654/</w:t>
      </w:r>
    </w:p>
    <w:p>
      <w:pPr>
        <w:pStyle w:val="Heading1"/>
      </w:pPr>
      <w:r>
        <w:t>Aufgenommen am 29.09.2026</w:t>
      </w:r>
    </w:p>
    <w:p>
      <w:pPr>
        <w:pStyle w:val="Heading2"/>
      </w:pPr>
      <w:r>
        <w:t>Invasive Geräte und Zimmerbelegung mit CRE-Patienten verdoppeln Kolonisierungsrisiko in Langzeitpflege</w:t>
      </w:r>
    </w:p>
    <w:p>
      <w:r>
        <w:rPr>
          <w:i/>
          <w:color w:val="666666"/>
          <w:sz w:val="18"/>
        </w:rPr>
        <w:t>Hwang H et al.  ·  PLoS One  ·  28.09.2026  ·  PMID 42804487</w:t>
      </w:r>
    </w:p>
    <w:p>
      <w:r>
        <w:t>Prospektive aktive Überwachungsstudie an 140 Patienten in 4 südkoreanischen Langzeitkrankenhäusern (Nov. 2023 – Dez. 2024): Asymptomatic-CRE-Kolonisierungsprävalenz und Akquisitionsrisiken wurden untersucht.</w:t>
      </w:r>
    </w:p>
    <w:p>
      <w:r>
        <w:rPr>
          <w:b/>
        </w:rPr>
        <w:t xml:space="preserve">Ergebnis: </w:t>
      </w:r>
      <w:r>
        <w:t>Gesamtprävalenz: 24,3% (34/140); bei Neuzuweisungen 30,8%, bei Dauerpatienten 21,8%. Unter initial negativen Patienten: 8,6% erwarben CRE während Aufenthalt. Cox-Regression: invasive Geräte im letzten Jahr HR 9,83; vorherige Zimmerbelegung mit CRE-Positiven HR 5,01. KPC dominant (80%). Die Studie zeigt: Standardprecautions und zeitnahes Cohorting essentiell.</w:t>
      </w:r>
    </w:p>
    <w:p>
      <w:r>
        <w:rPr>
          <w:b/>
          <w:sz w:val="19"/>
        </w:rPr>
        <w:t xml:space="preserve">Übertragbarkeit: </w:t>
      </w:r>
      <w:r>
        <w:rPr>
          <w:sz w:val="19"/>
        </w:rPr>
        <w:t>Südkorea, vergleichbare Struktur langer Betreuung</w:t>
      </w:r>
    </w:p>
    <w:p>
      <w:r>
        <w:rPr>
          <w:color w:val="5A7D3A"/>
          <w:sz w:val="18"/>
        </w:rPr>
        <w:t>https://pubmed.ncbi.nlm.nih.gov/42804487/</w:t>
      </w:r>
    </w:p>
    <w:p>
      <w:pPr>
        <w:pStyle w:val="Heading2"/>
      </w:pPr>
      <w:r>
        <w:t>Frühzeitige hämodynamische Reaktion auf Dobutamin senkt Sepsissterblichkeit</w:t>
      </w:r>
    </w:p>
    <w:p>
      <w:r>
        <w:rPr>
          <w:i/>
          <w:color w:val="666666"/>
          <w:sz w:val="18"/>
        </w:rPr>
        <w:t>Tarbaghia M et al.  ·  Crit Care Explor  ·  01.10.2026  ·  PMID 42804358</w:t>
      </w:r>
    </w:p>
    <w:p>
      <w:r>
        <w:t>Retrospektive Kohortenstudie von 104 Patienten mit septischem Schock und Myokarddysfunktion: Hämodynamische Ansprechbarkeit auf Dobutamin (Steigerung der zentralvenösen O2-Sättigung um ≥5 Prozentpunkte plus Reduktion der Noradrenalin-Äquivalentdosis) wurde nach 2 Stunden definiert und mit 28-Tage-ICU-Mortalität verglichen.</w:t>
      </w:r>
    </w:p>
    <w:p>
      <w:r>
        <w:rPr>
          <w:b/>
        </w:rPr>
        <w:t xml:space="preserve">Ergebnis: </w:t>
      </w:r>
      <w:r>
        <w:t>37 Patienten (36%) waren Responder. Nach multivariater Anpassung war hämodynamische Response mit niedrigerer 28-Tage-ICU-Mortalität assoziiert (OR 0,18; 95%-KI 0,04–0,68; p=0,018): 41% Responder vs. 58% Non-Responder. Responder hatten mehr ICU-freie Tage (17 vs. 0). Baseline-Echokardiographieparameter identifizierten Responder nicht.</w:t>
      </w:r>
    </w:p>
    <w:p>
      <w:r>
        <w:rPr>
          <w:b/>
          <w:sz w:val="19"/>
        </w:rPr>
        <w:t xml:space="preserve">Übertragbarkeit: </w:t>
      </w:r>
      <w:r>
        <w:rPr>
          <w:sz w:val="19"/>
        </w:rPr>
        <w:t>USA; Sicherheitsbefund und Outcome-Hierarchie sind übertragbar</w:t>
      </w:r>
    </w:p>
    <w:p>
      <w:r>
        <w:rPr>
          <w:color w:val="5A7D3A"/>
          <w:sz w:val="18"/>
        </w:rPr>
        <w:t>https://pubmed.ncbi.nlm.nih.gov/42804358/</w:t>
      </w:r>
    </w:p>
    <w:p>
      <w:pPr>
        <w:pStyle w:val="Heading2"/>
      </w:pPr>
      <w:r>
        <w:t>Prehospital Fieber und gastrointestinale Symptome beeinflussen Antibiotikatiming bei Sepsis</w:t>
      </w:r>
    </w:p>
    <w:p>
      <w:r>
        <w:rPr>
          <w:i/>
          <w:color w:val="666666"/>
          <w:sz w:val="18"/>
        </w:rPr>
        <w:t>Conlon A et al.  ·  JAMA Netw Open  ·  01.09.2026  ·  PMID 42804206</w:t>
      </w:r>
    </w:p>
    <w:p>
      <w:r>
        <w:t>Kohortenstudie an 29.647 Patienten mit vermuteter bakterieller Sepsis: Präsentation mit Fieber erhöhte die Quote zeitiger Antibiotikagabe (≤3h bei Hypotonie, ≤5h ohne), gastrointestinale Symptome senkten sie; zeitige Antibiotika verbesserten 28-Tage-Mortalität auch nach Anpassung für Symptome.</w:t>
      </w:r>
    </w:p>
    <w:p>
      <w:r>
        <w:rPr>
          <w:b/>
        </w:rPr>
        <w:t xml:space="preserve">Ergebnis: </w:t>
      </w:r>
      <w:r>
        <w:t>Unter 6.704 Patienten mit Hypotonie erhielten 65,8% zeitig Antibiotika (innerhalb 3h); unter 22.942 ohne Hypotonie 76,5% (innerhalb 5h). Fieber war mit erhöhten Chancen zeitiger Antibiotika assoziiert (mit Hypotonie: aOR 1,34; ohne: aOR 1,26), gastrointestinale Symptome mit erniedrigten (aOR 0,84 bzw. 0,80). Zeitige Antibiotika: adjustierte absolute Mortalitätsdifferenz −2,10 Prozentpunkte. Die Studie zeigt: Klinische Präsentation steuert Erkennungsgeschwindigkeit, zeitige Therapie bleibt assoziiert mit besseren Outcomes.</w:t>
      </w:r>
    </w:p>
    <w:p>
      <w:r>
        <w:rPr>
          <w:b/>
          <w:sz w:val="19"/>
        </w:rPr>
        <w:t xml:space="preserve">Übertragbarkeit: </w:t>
      </w:r>
      <w:r>
        <w:rPr>
          <w:sz w:val="19"/>
        </w:rPr>
        <w:t>USA, Kohortendaten; nur Sicherheitsbefund ist übertragbar</w:t>
      </w:r>
    </w:p>
    <w:p>
      <w:r>
        <w:rPr>
          <w:color w:val="5A7D3A"/>
          <w:sz w:val="18"/>
        </w:rPr>
        <w:t>https://pubmed.ncbi.nlm.nih.gov/42804206/</w:t>
      </w:r>
    </w:p>
    <w:p>
      <w:pPr>
        <w:pStyle w:val="Heading2"/>
      </w:pPr>
      <w:r>
        <w:t>Systemischer Immun-Inflammations-Index senkt Antibiotikatage bei Neugeborenen-Sepsis um ein Drittel</w:t>
      </w:r>
    </w:p>
    <w:p>
      <w:r>
        <w:rPr>
          <w:i/>
          <w:color w:val="666666"/>
          <w:sz w:val="18"/>
        </w:rPr>
        <w:t>Gök ÇC et al.  ·  Eur J Pediatr  ·  28.09.2026  ·  PMID 42804011</w:t>
      </w:r>
    </w:p>
    <w:p>
      <w:r>
        <w:t>Retrospektive Kohortenstudie von 275 Neugeborenen (85 mit Blutkulturbewiesener früher Sepsis, 190 Kontrollen): SII als Marker für therapeutische Ansprechbarkeit und Antibiotic-Stewardship-Potenzial wurde bewertet.</w:t>
      </w:r>
    </w:p>
    <w:p>
      <w:r>
        <w:rPr>
          <w:b/>
        </w:rPr>
        <w:t xml:space="preserve">Ergebnis: </w:t>
      </w:r>
      <w:r>
        <w:t>Bei Diagnose: SII in Sepsisgruppe 812 (IQR 650–1120) vs. 515 (410–630) in Kontrollen; p&lt;0,001; AUC 0,87. Am Tag 3 zeigte SII schnellere Abnahme als CRP in 74,1% der Sepsisfälle. SII könnte schnell-Responder früh erkennen und sicher verkürzte Antibiotika-Kurse lenken – Unterschied zur tradierten CRP-Kinetik erheblich.</w:t>
      </w:r>
    </w:p>
    <w:p>
      <w:r>
        <w:rPr>
          <w:b/>
          <w:sz w:val="19"/>
        </w:rPr>
        <w:t xml:space="preserve">Übertragbarkeit: </w:t>
      </w:r>
      <w:r>
        <w:rPr>
          <w:sz w:val="19"/>
        </w:rPr>
        <w:t>Türkei; Sepsismarker sind länderübergreifend vergleichbar</w:t>
      </w:r>
    </w:p>
    <w:p>
      <w:r>
        <w:rPr>
          <w:color w:val="5A7D3A"/>
          <w:sz w:val="18"/>
        </w:rPr>
        <w:t>https://pubmed.ncbi.nlm.nih.gov/42804011/</w:t>
      </w:r>
    </w:p>
    <w:p>
      <w:pPr>
        <w:pStyle w:val="Heading2"/>
      </w:pPr>
      <w:r>
        <w:t>Scoring-Modell identifiziert Risiko für Endoskop-Reprocessing-Fehler mit 78% Spezifität</w:t>
      </w:r>
    </w:p>
    <w:p>
      <w:r>
        <w:rPr>
          <w:i/>
          <w:color w:val="666666"/>
          <w:sz w:val="18"/>
        </w:rPr>
        <w:t>Fang L et al.  ·  J Int Med Res  ·  28.09.2026  ·  PMID 42803735</w:t>
      </w:r>
    </w:p>
    <w:p>
      <w:r>
        <w:t>Retrospektive Observationsstudie an 2.744 Gastroskopie-Reprocessing-Zyklen in 3 chinesischen Zentren (Jan.–Dez. 2025): Ein Risikomodell wurde zur Vorhersage von Reprocessing-Fehlern entwickelt und intern validiert.</w:t>
      </w:r>
    </w:p>
    <w:p>
      <w:r>
        <w:rPr>
          <w:b/>
        </w:rPr>
        <w:t xml:space="preserve">Ergebnis: </w:t>
      </w:r>
      <w:r>
        <w:t>24,85% Fehlerquote (682/2.744). Sechs unabhängige Prädiktoren: Personal, Wascher-Desinfektor-Typ, Zubehör-Nutzungshäufigkeit, Reparaturvorgeschichte, Zeit bis Reprocessing, Personalalter. Scoring-Bereich −2 bis 18; AUC 0,834 (95%-KI 0,804–0,864) in Validierung. Bei Cutoff ≥10: Sensitivität 0,725, Spezifität 0,808, NPV 0,899. Praktisches System zur Früherkennung risikobehafteter Prozesse.</w:t>
      </w:r>
    </w:p>
    <w:p>
      <w:r>
        <w:rPr>
          <w:b/>
          <w:sz w:val="19"/>
        </w:rPr>
        <w:t xml:space="preserve">Übertragbarkeit: </w:t>
      </w:r>
      <w:r>
        <w:rPr>
          <w:sz w:val="19"/>
        </w:rPr>
        <w:t>China; externe Validierung notwendig</w:t>
      </w:r>
    </w:p>
    <w:p>
      <w:r>
        <w:rPr>
          <w:color w:val="5A7D3A"/>
          <w:sz w:val="18"/>
        </w:rPr>
        <w:t>https://pubmed.ncbi.nlm.nih.gov/42803735/</w:t>
      </w:r>
    </w:p>
    <w:p>
      <w:pPr>
        <w:pStyle w:val="Heading2"/>
      </w:pPr>
      <w:r>
        <w:t>Risikoscores für Tuberkulose-Medikamentennebenwirkungen zeigen moderate Diskriminierung, aber hohe Bias</w:t>
      </w:r>
    </w:p>
    <w:p>
      <w:r>
        <w:rPr>
          <w:i/>
          <w:color w:val="666666"/>
          <w:sz w:val="18"/>
        </w:rPr>
        <w:t>Li H et al.  ·  Front Public Health  ·  11.09.2026  ·  PMID 42798580</w:t>
      </w:r>
    </w:p>
    <w:p>
      <w:r>
        <w:t>Systematische Übersicht und Metaanalyse von 26 Studien (31 Modelle, n≈41.734) zu Vorhersagemodellen für medikamenteninduzierte Leberschädigung unter Anti-TB-Therapie in Ostasien: Validierung, Bias und Diskriminationsfähigkeit wurden bewertet.</w:t>
      </w:r>
    </w:p>
    <w:p>
      <w:r>
        <w:rPr>
          <w:b/>
        </w:rPr>
        <w:t xml:space="preserve">Ergebnis: </w:t>
      </w:r>
      <w:r>
        <w:t>Gepoolte AUC=0,81 (0,624–1,0 im Einzelnen). Nur eine Studie mit niedrigem Bias-Risiko; alle anderen mit hohem Risiko wegen fehlerhafter Datenbehandlung und univariater Prädiktorenauswahl. Risikofaktoren (p&lt;0,05): Lebererkrankungen, extrapulmonale TB, Alter ≥60, Alkohol, Komorbiditäten, Rückfallbehandlung, erhöhte AST, Diabetes, Rauchen. Uric acid inverse assoziiert. Hepatoprotektive Mittel zeigten keine Wirkung.</w:t>
      </w:r>
    </w:p>
    <w:p>
      <w:r>
        <w:rPr>
          <w:b/>
          <w:sz w:val="19"/>
        </w:rPr>
        <w:t xml:space="preserve">Übertragbarkeit: </w:t>
      </w:r>
      <w:r>
        <w:rPr>
          <w:sz w:val="19"/>
        </w:rPr>
        <w:t>Ostasien; methodische Schwächen begrenzen Anwendbarkeit</w:t>
      </w:r>
    </w:p>
    <w:p>
      <w:r>
        <w:rPr>
          <w:color w:val="5A7D3A"/>
          <w:sz w:val="18"/>
        </w:rPr>
        <w:t>https://pubmed.ncbi.nlm.nih.gov/42798580/</w:t>
      </w:r>
    </w:p>
    <w:p>
      <w:pPr>
        <w:pStyle w:val="Heading2"/>
      </w:pPr>
      <w:r>
        <w:t>Candida-parapsilosis-Fungämien auf Intensivstationen: resistenzabhängig höhere Sterblichkeit, keine schnellere Therapie hilft</w:t>
      </w:r>
    </w:p>
    <w:p>
      <w:r>
        <w:rPr>
          <w:i/>
          <w:color w:val="666666"/>
          <w:sz w:val="18"/>
        </w:rPr>
        <w:t>Katsiari M et al.  ·  Pathogens  ·  13.07.2026  ·  PMID 42515061</w:t>
      </w:r>
    </w:p>
    <w:p>
      <w:r>
        <w:t>Retrospektive Observationsstudie von 90 ICU-Patienten mit Candidämie (Athen, Griechenland): Speziesverteilung, Fluconazol-Resistenzen und Mortalitätsassoziationen wurden über ein Jahrzehnt verfolgt.</w:t>
      </w:r>
    </w:p>
    <w:p>
      <w:r>
        <w:rPr>
          <w:b/>
        </w:rPr>
        <w:t xml:space="preserve">Ergebnis: </w:t>
      </w:r>
      <w:r>
        <w:t>C. parapsilosis 33,7% (41,9% fluconazol-resistent), C. albicans 31,5%, C. auris 23,9%. Non-albicans-Bacteraemia trat später auf, mit niedrigerer Severity, aber fünffacher Vortherapie mit Antimykotika. Gesamtmortalität 53,3%; kein signifikanter Art-Unterschied. Weder prompte Therapie noch Antimykotikaklasse waren mit besserer Überlebenschance assoziiert. Mangelnde Effektivität therapeutischer Timing-Strategien.</w:t>
      </w:r>
    </w:p>
    <w:p>
      <w:r>
        <w:rPr>
          <w:b/>
          <w:sz w:val="19"/>
        </w:rPr>
        <w:t xml:space="preserve">Übertragbarkeit: </w:t>
      </w:r>
      <w:r>
        <w:rPr>
          <w:sz w:val="19"/>
        </w:rPr>
        <w:t>Griechenland (Europa); comparable ICU-Praxis</w:t>
      </w:r>
    </w:p>
    <w:p>
      <w:r>
        <w:rPr>
          <w:color w:val="5A7D3A"/>
          <w:sz w:val="18"/>
        </w:rPr>
        <w:t>https://pubmed.ncbi.nlm.nih.gov/42515061/</w:t>
      </w:r>
    </w:p>
    <w:p>
      <w:pPr>
        <w:pStyle w:val="Heading1"/>
      </w:pPr>
      <w:r>
        <w:t>Aufgenommen am 28.09.2026</w:t>
      </w:r>
    </w:p>
    <w:p>
      <w:pPr>
        <w:pStyle w:val="Heading2"/>
      </w:pPr>
      <w:r>
        <w:t>Unangemessene Empirikatherapie bei Blutvergiftung: Muster und vermeidbare Fehler</w:t>
      </w:r>
    </w:p>
    <w:p>
      <w:r>
        <w:rPr>
          <w:i/>
          <w:color w:val="666666"/>
          <w:sz w:val="18"/>
        </w:rPr>
        <w:t>Komori A et al.  ·  Medicine (Baltimore)  ·  25.09.2026  ·  PMID 42798086</w:t>
      </w:r>
    </w:p>
    <w:p>
      <w:r>
        <w:t>Retrospektive Analyse von Sepsispatienten in der Notaufnahme, die Antibiotika vor Kulturbefund erhielten, aber gegen den später isolierten Erreger unwirksam waren.</w:t>
      </w:r>
    </w:p>
    <w:p>
      <w:r>
        <w:rPr>
          <w:b/>
        </w:rPr>
        <w:t xml:space="preserve">Ergebnis: </w:t>
      </w:r>
      <w:r>
        <w:t>Von 118 Bacterämiepatienten erhielten 11 (9,3%) mikrobiologisch unangemessene Initialtherapie. Hauptursachen: Extended-Spectrum-β-Lactamase-Enterobakterien trotz richtiger Fokusdiagnose (mehrheitlich) oder Fehlidentifikation des Infektionsfokus. Mortalität höher bei falscher Fokusdiagnose.</w:t>
      </w:r>
    </w:p>
    <w:p>
      <w:r>
        <w:rPr>
          <w:b/>
          <w:sz w:val="19"/>
        </w:rPr>
        <w:t xml:space="preserve">Übertragbarkeit: </w:t>
      </w:r>
      <w:r>
        <w:rPr>
          <w:sz w:val="19"/>
        </w:rPr>
        <w:t>Japan-Studie, aber Befund zur Source-Kontrol und Stewardship übertragbar auf deutsche Notaufnahmen.</w:t>
      </w:r>
    </w:p>
    <w:p>
      <w:r>
        <w:rPr>
          <w:color w:val="5A7D3A"/>
          <w:sz w:val="18"/>
        </w:rPr>
        <w:t>https://pubmed.ncbi.nlm.nih.gov/42798086/</w:t>
      </w:r>
    </w:p>
    <w:p>
      <w:pPr>
        <w:pStyle w:val="Heading2"/>
      </w:pPr>
      <w:r>
        <w:t>Bakterielle Kontamination von Skalpellen und Instrumenten: Schaden ohne Folgen im Operationssaal</w:t>
      </w:r>
    </w:p>
    <w:p>
      <w:r>
        <w:rPr>
          <w:i/>
          <w:color w:val="666666"/>
          <w:sz w:val="18"/>
        </w:rPr>
        <w:t>Liang GH et al.  ·  Medicine (Baltimore)  ·  25.09.2026  ·  PMID 42798037</w:t>
      </w:r>
    </w:p>
    <w:p>
      <w:r>
        <w:t>Prospektive Studie zur Häufigkeit und Art intraoperativer bakterieller Kontamination bei Gelenkersatzoperationen und deren Bezug zu postoperativen Infektionen.</w:t>
      </w:r>
    </w:p>
    <w:p>
      <w:r>
        <w:rPr>
          <w:b/>
        </w:rPr>
        <w:t xml:space="preserve">Ergebnis: </w:t>
      </w:r>
      <w:r>
        <w:t>13 von 127 Patienten (10,2%) hatten mindestens eine positive Bakterienkultur von OP-Instrumenten (Skalpell Inzision 5,9%, Kontrolle 1,7%). Kein Unterschied in Patientencharakteristika zwischen kontaminiert und nicht-kontaminiert. In 24–38 Monaten Follow-up: null postoperative Infektionen, null periprosthetische Gelenkinfektionen. Kontamination ≠ klinische Infektion.</w:t>
      </w:r>
    </w:p>
    <w:p>
      <w:r>
        <w:rPr>
          <w:b/>
          <w:sz w:val="19"/>
        </w:rPr>
        <w:t xml:space="preserve">Übertragbarkeit: </w:t>
      </w:r>
      <w:r>
        <w:rPr>
          <w:sz w:val="19"/>
        </w:rPr>
        <w:t>China-Studie, Standardhygiene vergleichbar mit deutschem System, Surveillance-Meldepflicht.</w:t>
      </w:r>
    </w:p>
    <w:p>
      <w:r>
        <w:rPr>
          <w:color w:val="5A7D3A"/>
          <w:sz w:val="18"/>
        </w:rPr>
        <w:t>https://pubmed.ncbi.nlm.nih.gov/42798037/</w:t>
      </w:r>
    </w:p>
    <w:p>
      <w:pPr>
        <w:pStyle w:val="Heading2"/>
      </w:pPr>
      <w:r>
        <w:t>Ralstonia-Ausbruch auf Neonatologie: Kontaminiertes Wasser als vermeidbarer Schaden</w:t>
      </w:r>
    </w:p>
    <w:p>
      <w:r>
        <w:rPr>
          <w:i/>
          <w:color w:val="666666"/>
          <w:sz w:val="18"/>
        </w:rPr>
        <w:t>Uygun SS et al.  ·  Pathogens  ·  08.09.2026  ·  PMID 42796721</w:t>
      </w:r>
    </w:p>
    <w:p>
      <w:r>
        <w:t>Ausbruchuntersuchung nosokomialer Ralstonia-pickettii-Infektionen bei Neugeborenen, deren Quelle kontaminiertes steriles destilliertes Wasser war.</w:t>
      </w:r>
    </w:p>
    <w:p>
      <w:r>
        <w:rPr>
          <w:b/>
        </w:rPr>
        <w:t xml:space="preserve">Ergebnis: </w:t>
      </w:r>
      <w:r>
        <w:t>9 infizierte Neugeborene über 22 Monate, Mortalität 44,4%, davon 11,1% direkt zurechenbar. Nach Wasserwechsel und Infektionskontrollmaßnahmen keine weiteren Fälle. AP-PCR bestätigte genetische Verwandtschaft klinischer und Umweltproben.</w:t>
      </w:r>
    </w:p>
    <w:p>
      <w:r>
        <w:rPr>
          <w:b/>
          <w:sz w:val="19"/>
        </w:rPr>
        <w:t xml:space="preserve">Übertragbarkeit: </w:t>
      </w:r>
      <w:r>
        <w:rPr>
          <w:sz w:val="19"/>
        </w:rPr>
        <w:t>Deutschland: Vergleichbares Hygienemanagementsystem, Infektionsschutzgesetz mit Ausbruchsmeldepflicht.</w:t>
      </w:r>
    </w:p>
    <w:p>
      <w:r>
        <w:rPr>
          <w:color w:val="5A7D3A"/>
          <w:sz w:val="18"/>
        </w:rPr>
        <w:t>https://pubmed.ncbi.nlm.nih.gov/42796721/</w:t>
      </w:r>
    </w:p>
    <w:p>
      <w:pPr>
        <w:pStyle w:val="Heading2"/>
      </w:pPr>
      <w:r>
        <w:t>Sicherheitskultur in der Infektionskontrolle: Editorial ohne Studiendaten</w:t>
      </w:r>
    </w:p>
    <w:p>
      <w:r>
        <w:rPr>
          <w:i/>
          <w:color w:val="666666"/>
          <w:sz w:val="18"/>
        </w:rPr>
        <w:t>Azoicăi D et al.  ·  Medicina (Kaunas)  ·  06.09.2026  ·  PMID 42796314</w:t>
      </w:r>
    </w:p>
    <w:p>
      <w:r>
        <w:t>Redaktioneller Kommentar zur WHO-Warnung vor Eskalation von Infektionsrisiken und Antimikrobielles Stewardship, ohne Studienergebnisse.</w:t>
      </w:r>
    </w:p>
    <w:p>
      <w:r>
        <w:rPr>
          <w:b/>
        </w:rPr>
        <w:t xml:space="preserve">Ergebnis: </w:t>
      </w:r>
      <w:r>
        <w:t>Keine konkreten Ergebnisse, nur Warnung vor neu auftretenden und erneut auftretenden Infektionskrankheiten.</w:t>
      </w:r>
    </w:p>
    <w:p>
      <w:r>
        <w:rPr>
          <w:b/>
          <w:sz w:val="19"/>
        </w:rPr>
        <w:t xml:space="preserve">Übertragbarkeit: </w:t>
      </w:r>
      <w:r>
        <w:rPr>
          <w:sz w:val="19"/>
        </w:rPr>
        <w:t>Nicht qualifizierend: Expertenpapier ohne benennbare Ergebnisse.</w:t>
      </w:r>
    </w:p>
    <w:p>
      <w:r>
        <w:rPr>
          <w:color w:val="5A7D3A"/>
          <w:sz w:val="18"/>
        </w:rPr>
        <w:t>https://pubmed.ncbi.nlm.nih.gov/42796314/</w:t>
      </w:r>
    </w:p>
    <w:p>
      <w:pPr>
        <w:pStyle w:val="Heading2"/>
      </w:pPr>
      <w:r>
        <w:t>Mundhygiene und Handwaschen bei Adoleszenten: Verhaltensunterschiede nach Geschlecht und Einkommen</w:t>
      </w:r>
    </w:p>
    <w:p>
      <w:r>
        <w:rPr>
          <w:i/>
          <w:color w:val="666666"/>
          <w:sz w:val="18"/>
        </w:rPr>
        <w:t>Huang Z et al.  ·  Front Public Health  ·  10.09.2026  ·  PMID 42787371</w:t>
      </w:r>
    </w:p>
    <w:p>
      <w:r>
        <w:t>Querschnittsstudie aus 72 Ländern mit 244.040 Schülern (Global School-based Student Health Survey 2010–2019): Unterschiede in Zahnpflege und Händewaschen nach Geschlecht, Alter, Region und Einkommensniveau.</w:t>
      </w:r>
    </w:p>
    <w:p>
      <w:r>
        <w:rPr>
          <w:b/>
        </w:rPr>
        <w:t xml:space="preserve">Ergebnis: </w:t>
      </w:r>
      <w:r>
        <w:t>Zähneputzen &lt;1×/Tag: 10,9% (95%-KI 10,0–11,8), ≥2×/Tag: 70,5%. Nie/selten Hände vor Essen waschen: 6,5%, nach Toilette: 5,5%, ohne Seife: 9,0%. Jungen schlechter (z.B. &lt;1×/Tag putzen: 13,1% vs. Mädchen 8,6%). Ostmittelmeerregion höchste Prävalenz unzureichenden Zähnebürstens (30,7%). Einkommungradient für Zähneputzen (arm 12,5% → reich 4,4%), nicht für Händewaschen.</w:t>
      </w:r>
    </w:p>
    <w:p>
      <w:r>
        <w:rPr>
          <w:b/>
          <w:sz w:val="19"/>
        </w:rPr>
        <w:t xml:space="preserve">Übertragbarkeit: </w:t>
      </w:r>
      <w:r>
        <w:rPr>
          <w:sz w:val="19"/>
        </w:rPr>
        <w:t>72-Länder-Daten, aber Hygiene-Outcomes nicht auf nosokominale Infektionen, Schaden oder Versorgungsfehler bezogen.</w:t>
      </w:r>
    </w:p>
    <w:p>
      <w:r>
        <w:rPr>
          <w:color w:val="5A7D3A"/>
          <w:sz w:val="18"/>
        </w:rPr>
        <w:t>https://pubmed.ncbi.nlm.nih.gov/42787371/</w:t>
      </w:r>
    </w:p>
    <w:p>
      <w:pPr>
        <w:pStyle w:val="Heading2"/>
      </w:pPr>
      <w:r>
        <w:t>TNF-α-Test für Sepsiserkennung in der Notaufnahme: niedriges Vorhersagevermögen bleibt unsicher</w:t>
      </w:r>
    </w:p>
    <w:p>
      <w:r>
        <w:rPr>
          <w:i/>
          <w:color w:val="666666"/>
          <w:sz w:val="18"/>
        </w:rPr>
        <w:t>Cisteró B et al.  ·  Front Immunol  ·  10.09.2026  ·  PMID 42787037</w:t>
      </w:r>
    </w:p>
    <w:p>
      <w:r>
        <w:t>Prospektive Kohortenstudie: Bluttests auf Lipopolysaccharid-induzierte TNF-α-Freisetzung bei Notaufnahmepatienten mit Verdacht auf Infektion zur frühen Sepsis-Erkennung.</w:t>
      </w:r>
    </w:p>
    <w:p>
      <w:r>
        <w:rPr>
          <w:b/>
        </w:rPr>
        <w:t xml:space="preserve">Ergebnis: </w:t>
      </w:r>
      <w:r>
        <w:t>203 Patienten, 142 mit Sepsis-3 in 24 h diagnostiziert. Negative Tests in 75% häufig. Test-Sensitivität 78,9% (95%-KI 71,4–84,8), Spezifität 39,5% (95%-KI 25,6–55,3) für Sepsis-3. Nach Anpassung für Alter und qSOFA: OR 2,94 (95%-KI 1,28–6,75, p=0,011). Autoren beurteilen Test als ergänzend, nicht eigenständig aussagekräftig.</w:t>
      </w:r>
    </w:p>
    <w:p>
      <w:r>
        <w:rPr>
          <w:b/>
          <w:sz w:val="19"/>
        </w:rPr>
        <w:t xml:space="preserve">Übertragbarkeit: </w:t>
      </w:r>
      <w:r>
        <w:rPr>
          <w:sz w:val="19"/>
        </w:rPr>
        <w:t>Spanien: Notaufnahme-Setting vergleichbar, aber externe Validierung ausstehend.</w:t>
      </w:r>
    </w:p>
    <w:p>
      <w:r>
        <w:rPr>
          <w:color w:val="5A7D3A"/>
          <w:sz w:val="18"/>
        </w:rPr>
        <w:t>https://pubmed.ncbi.nlm.nih.gov/42787037/</w:t>
      </w:r>
    </w:p>
    <w:p>
      <w:pPr>
        <w:pStyle w:val="Heading2"/>
      </w:pPr>
      <w:r>
        <w:t>Rotschimmel-Supplements: seltene Nebenwirkungen, aber niedriges Meldesystem</w:t>
      </w:r>
    </w:p>
    <w:p>
      <w:r>
        <w:rPr>
          <w:i/>
          <w:color w:val="666666"/>
          <w:sz w:val="18"/>
        </w:rPr>
        <w:t>Cicero AFG et al.  ·  Nutrients  ·  14.07.2026  ·  PMID 42514371</w:t>
      </w:r>
    </w:p>
    <w:p>
      <w:r>
        <w:t>Strukturiertes europäisches Spontan-Meldesystem für Nebenwirkungen von Nahrungsergänzungsmitteln aus Rotem Schimmel bei leichter bis mäßiger Hypercholesterinämie.</w:t>
      </w:r>
    </w:p>
    <w:p>
      <w:r>
        <w:rPr>
          <w:b/>
        </w:rPr>
        <w:t xml:space="preserve">Ergebnis: </w:t>
      </w:r>
      <w:r>
        <w:t>148 Nebenwirkungsberichte von 12 europäischen Ländern (2022–2024), geschätzte Exposition 608.815 Patientenzeiträume. Gastrointestinale Ereignisse 45,9%, Arthromyalgie 16,9%, Überempfindlichkeit 10,8%. Schwere/ernsthafte Ereignisse 0,7%/1,4%. Geschätztes exposure-adjustiertes Melderisiko: 0,02% für alle, 0,0003% für ernsthafte Nebenwirkungen.</w:t>
      </w:r>
    </w:p>
    <w:p>
      <w:r>
        <w:rPr>
          <w:b/>
          <w:sz w:val="19"/>
        </w:rPr>
        <w:t xml:space="preserve">Übertragbarkeit: </w:t>
      </w:r>
      <w:r>
        <w:rPr>
          <w:sz w:val="19"/>
        </w:rPr>
        <w:t>Deutschland/DACH: Italienische, europäische Daten aus vergleichbarem Supplement-Regulierungssystem.</w:t>
      </w:r>
    </w:p>
    <w:p>
      <w:r>
        <w:rPr>
          <w:color w:val="5A7D3A"/>
          <w:sz w:val="18"/>
        </w:rPr>
        <w:t>https://pubmed.ncbi.nlm.nih.gov/42514371/</w:t>
      </w:r>
    </w:p>
    <w:p>
      <w:pPr>
        <w:pStyle w:val="Heading1"/>
      </w:pPr>
      <w:r>
        <w:t>Aufgenommen am 27.09.2026</w:t>
      </w:r>
    </w:p>
    <w:p>
      <w:pPr>
        <w:pStyle w:val="Heading2"/>
      </w:pPr>
      <w:r>
        <w:t>Pflegeanfänger erkennen Medikationsfehler und Stürze, benötigen aber Kultur der psychologischen Sicherheit</w:t>
      </w:r>
    </w:p>
    <w:p>
      <w:r>
        <w:rPr>
          <w:i/>
          <w:color w:val="666666"/>
          <w:sz w:val="18"/>
        </w:rPr>
        <w:t>Kohanová D et al.  ·  Nurs Health Sci  ·  Dez. 2026  ·  PMID 42799319</w:t>
      </w:r>
    </w:p>
    <w:p>
      <w:r>
        <w:t>Qualitative Sekundäranalyse von 1.442 Studierenden aus vier Ländern (Tschechien, Italien, Slowakei, Türkei), die über Patientsicherheitsvorfälle während Klinischer Praktika berichteten.</w:t>
      </w:r>
    </w:p>
    <w:p>
      <w:r>
        <w:rPr>
          <w:b/>
        </w:rPr>
        <w:t xml:space="preserve">Ergebnis: </w:t>
      </w:r>
      <w:r>
        <w:t>287 Vorfallbeschreibungen analysiert; am häufigsten: Medikationsfehler und Patientenstürze, gefolgt von Infektionsprävention, Kommunikationsfehler, unzureichende Betreuung. Studierende benannten multifaktoriale Ursachen (Patient, Kontext, Organisation, Mensch). Empfehlungen: strukturierte Debriefings, klare Meldekanäle, psychologisch sichere, nicht-punitiv gestaltete Lernumgebungen.</w:t>
      </w:r>
    </w:p>
    <w:p>
      <w:r>
        <w:rPr>
          <w:b/>
          <w:sz w:val="19"/>
        </w:rPr>
        <w:t xml:space="preserve">Übertragbarkeit: </w:t>
      </w:r>
      <w:r>
        <w:rPr>
          <w:sz w:val="19"/>
        </w:rPr>
        <w:t>Mitteleuropa und Südosteuropa, ähnliche Ausbildungsstrukturen</w:t>
      </w:r>
    </w:p>
    <w:p>
      <w:r>
        <w:rPr>
          <w:color w:val="5A7D3A"/>
          <w:sz w:val="18"/>
        </w:rPr>
        <w:t>https://pubmed.ncbi.nlm.nih.gov/42799319/</w:t>
      </w:r>
    </w:p>
    <w:p>
      <w:pPr>
        <w:pStyle w:val="Heading2"/>
      </w:pPr>
      <w:r>
        <w:t>Unangemessene Medikationen bei Älteren in der Primärversorgung: Häufigkeit und Risikofaktoren</w:t>
      </w:r>
    </w:p>
    <w:p>
      <w:r>
        <w:rPr>
          <w:i/>
          <w:color w:val="666666"/>
          <w:sz w:val="18"/>
        </w:rPr>
        <w:t>Paraschiv M et al.  ·  Medicina (Kaunas)  ·  20.09.2026  ·  PMID 42796419</w:t>
      </w:r>
    </w:p>
    <w:p>
      <w:r>
        <w:t>Retrospektive Beobachtungsstudie an 100 Patienten ≥65 Jahren in einer rumänischen Hausarztpraxis, die potenziell unangemessene Medikationen (PIM) nach vier etablierten Kriterien (STOPP v3, Beers, EU(7)-PIM, PRISCUS v2) identifizierte.</w:t>
      </w:r>
    </w:p>
    <w:p>
      <w:r>
        <w:rPr>
          <w:b/>
        </w:rPr>
        <w:t xml:space="preserve">Ergebnis: </w:t>
      </w:r>
      <w:r>
        <w:t>Mindestens eine PIM fanden sich bei 73% (STOPP), 62% (Beers), 60% (EU(7)-PIM) und 53% (PRISCUS) der Patienten. STOPP identifizierte signifikant mehr PIMs als die anderen Kriterien (p&lt;0,001). Medikamentenlast war in adjustierten Analysen der konsistenteste Risikofaktor für alle Kriterien.</w:t>
      </w:r>
    </w:p>
    <w:p>
      <w:r>
        <w:rPr>
          <w:b/>
          <w:sz w:val="19"/>
        </w:rPr>
        <w:t xml:space="preserve">Übertragbarkeit: </w:t>
      </w:r>
      <w:r>
        <w:rPr>
          <w:sz w:val="19"/>
        </w:rPr>
        <w:t>Rumänische Primärversorgung, ähnliche Versicherungssysteme wie Deutschland</w:t>
      </w:r>
    </w:p>
    <w:p>
      <w:r>
        <w:rPr>
          <w:color w:val="5A7D3A"/>
          <w:sz w:val="18"/>
        </w:rPr>
        <w:t>https://pubmed.ncbi.nlm.nih.gov/42796419/</w:t>
      </w:r>
    </w:p>
    <w:p>
      <w:pPr>
        <w:pStyle w:val="Heading2"/>
      </w:pPr>
      <w:r>
        <w:t>Antimikrobielles Stewardship senkt MRSA und multiresistente Enterobakterien</w:t>
      </w:r>
    </w:p>
    <w:p>
      <w:r>
        <w:rPr>
          <w:i/>
          <w:color w:val="666666"/>
          <w:sz w:val="18"/>
        </w:rPr>
        <w:t>Grindean A et al.  ·  Medicina (Kaunas)  ·  11.09.2026  ·  PMID 42796362</w:t>
      </w:r>
    </w:p>
    <w:p>
      <w:r>
        <w:t>Retrospektive Langzeitstudie 2023–2025 eines rumänischen Krankenhauses, die Auswirkungen erhöhter mikrobiologischer Testung und gezieltem Stewardship auf Antibiotikaresistenzen untersuchte.</w:t>
      </w:r>
    </w:p>
    <w:p>
      <w:r>
        <w:rPr>
          <w:b/>
        </w:rPr>
        <w:t xml:space="preserve">Ergebnis: </w:t>
      </w:r>
      <w:r>
        <w:t>E.-coli-MDR sank von 7,4% (Sem. II 2023) auf 0,0% (Sem. II 2025); S.-aureus-MRSA+MLSB von 30,6% auf 0,0%. Mikrobiologische Testintensität stieg von 18,05% auf 28,20%. Durchschnittliche Liegedauer bei Infektionen 15,35 Tage, auf chirurgischen Stationen 20,80 Tage.</w:t>
      </w:r>
    </w:p>
    <w:p>
      <w:r>
        <w:rPr>
          <w:b/>
          <w:sz w:val="19"/>
        </w:rPr>
        <w:t xml:space="preserve">Übertragbarkeit: </w:t>
      </w:r>
      <w:r>
        <w:rPr>
          <w:sz w:val="19"/>
        </w:rPr>
        <w:t>Europäisches Krankenhaus, vergleichbare Hygiene- und Qualitätsziele</w:t>
      </w:r>
    </w:p>
    <w:p>
      <w:r>
        <w:rPr>
          <w:color w:val="5A7D3A"/>
          <w:sz w:val="18"/>
        </w:rPr>
        <w:t>https://pubmed.ncbi.nlm.nih.gov/42796362/</w:t>
      </w:r>
    </w:p>
    <w:p>
      <w:pPr>
        <w:pStyle w:val="Heading2"/>
      </w:pPr>
      <w:r>
        <w:t>Interklinischer Transport bei Neugeborenen-Sepsis: Versorgungskette unterbrochen, Forschung fehlt</w:t>
      </w:r>
    </w:p>
    <w:p>
      <w:r>
        <w:rPr>
          <w:i/>
          <w:color w:val="666666"/>
          <w:sz w:val="18"/>
        </w:rPr>
        <w:t>Damian RO et al.  ·  Medicina (Kaunas)  ·  11.09.2026  ·  PMID 42796359</w:t>
      </w:r>
    </w:p>
    <w:p>
      <w:r>
        <w:t>Scoping Review (39 Quellen, 2020–2026) zu Variablen, Interventionen und Organisationspraktiken beim interklinischen Neugeborenen-Transport im Kontext von Sepsis-Früherkennung und -Behandlung.</w:t>
      </w:r>
    </w:p>
    <w:p>
      <w:r>
        <w:rPr>
          <w:b/>
        </w:rPr>
        <w:t xml:space="preserve">Ergebnis: </w:t>
      </w:r>
      <w:r>
        <w:t>24 indirekt-klinische, 7 indirekt-organisatorische, 4 indirekt-technische, 1 indirekt-experienzielle und 3 direkt-prozess/indirekt-sepsis-Ergebnis-Quellen. Keine Studie zeigte, dass eine Transport-Intervention unabhängig Sepsis-Ergebnisse verbessert. Antimikrobielles Timing, Kulturen, Perfusionsverlauf und strukturierte Handover unterrepräsentiert.</w:t>
      </w:r>
    </w:p>
    <w:p>
      <w:r>
        <w:rPr>
          <w:b/>
          <w:sz w:val="19"/>
        </w:rPr>
        <w:t xml:space="preserve">Übertragbarkeit: </w:t>
      </w:r>
      <w:r>
        <w:rPr>
          <w:sz w:val="19"/>
        </w:rPr>
        <w:t>Mehrere europäische Länder eingeschlossen, Organisationslücke übertragbar auf Deutschland</w:t>
      </w:r>
    </w:p>
    <w:p>
      <w:r>
        <w:rPr>
          <w:color w:val="5A7D3A"/>
          <w:sz w:val="18"/>
        </w:rPr>
        <w:t>https://pubmed.ncbi.nlm.nih.gov/42796359/</w:t>
      </w:r>
    </w:p>
    <w:p>
      <w:pPr>
        <w:pStyle w:val="Heading2"/>
      </w:pPr>
      <w:r>
        <w:t>Patientensicherheits-Screening vor bildgebenden Verfahren: Papierformulare dominieren, Standardisierung fehlt</w:t>
      </w:r>
    </w:p>
    <w:p>
      <w:r>
        <w:rPr>
          <w:i/>
          <w:color w:val="666666"/>
          <w:sz w:val="18"/>
        </w:rPr>
        <w:t>Mallinson MA et al.  ·  J Eval Clin Pract  ·  Sept. 2026  ·  PMID 42788779</w:t>
      </w:r>
    </w:p>
    <w:p>
      <w:r>
        <w:t>Freiheitsinformation-Anfrage an 129 englische NHS-Krankenhäuser und private Anbieter zur Nutzung und Gestaltung von Sicherheits-Screening-Formularen vor Diagnostischer Bildgebung.</w:t>
      </w:r>
    </w:p>
    <w:p>
      <w:r>
        <w:rPr>
          <w:b/>
        </w:rPr>
        <w:t xml:space="preserve">Ergebnis: </w:t>
      </w:r>
      <w:r>
        <w:t>Rücklaufquote 83,2%; 91,3% der NHS-Organisationen antworteten. 55,8% beantworteten innerhalb der erwarteten 20 Arbeitstage. Die Mehrheit nutzt Papierformulare; nur eine Organisation setzte vollständig auf digitale Formulare. Erhebliche Inkonsistenzen in Design und Interpretation berichtet.</w:t>
      </w:r>
    </w:p>
    <w:p>
      <w:r>
        <w:rPr>
          <w:b/>
          <w:sz w:val="19"/>
        </w:rPr>
        <w:t xml:space="preserve">Übertragbarkeit: </w:t>
      </w:r>
      <w:r>
        <w:rPr>
          <w:sz w:val="19"/>
        </w:rPr>
        <w:t>Großbritannien (NHS), andere Versorgungsstrukturen, aber vergleichbare Sicherheitsprobleme</w:t>
      </w:r>
    </w:p>
    <w:p>
      <w:r>
        <w:rPr>
          <w:color w:val="5A7D3A"/>
          <w:sz w:val="18"/>
        </w:rPr>
        <w:t>https://pubmed.ncbi.nlm.nih.gov/42788779/</w:t>
      </w:r>
    </w:p>
    <w:p>
      <w:pPr>
        <w:pStyle w:val="Heading2"/>
      </w:pPr>
      <w:r>
        <w:t>Sepsis-Vorhersagemodell LiSep LSTM funktioniert in Europa wie in USA, aber Kalibrierung erforderlich</w:t>
      </w:r>
    </w:p>
    <w:p>
      <w:r>
        <w:rPr>
          <w:i/>
          <w:color w:val="666666"/>
          <w:sz w:val="18"/>
        </w:rPr>
        <w:t>Tan HK et al.  ·  Sci Rep  ·  10.09.2026  ·  PMID 42722695</w:t>
      </w:r>
    </w:p>
    <w:p>
      <w:r>
        <w:t>Validierungsstudie eines Tiefenlern-Modells (LiSep LSTM) zur frühen Vorhersage septischen Schocks, trainiert an US-Daten (MIMIC-III), getestet an europäischer Kohorte (Amsterdam UMC).</w:t>
      </w:r>
    </w:p>
    <w:p>
      <w:r>
        <w:rPr>
          <w:b/>
        </w:rPr>
        <w:t xml:space="preserve">Ergebnis: </w:t>
      </w:r>
      <w:r>
        <w:t>Auf AUMC-Kohorte: AUROC 0,8851 (95%-KI 0,8612–0,909) mit Medianen 47,0 h vor Symptombeginn. Externe Validierung zeigte reduzierte Kalibrierung und Rückruf; gepooltes Training verbesserte AUROC und Brier-Score. Genauigkeit 0,60–0,77, Präzision niedrig (0,01–0,17) aufgrund hoher Falsch-Positive.</w:t>
      </w:r>
    </w:p>
    <w:p>
      <w:r>
        <w:rPr>
          <w:b/>
          <w:sz w:val="19"/>
        </w:rPr>
        <w:t xml:space="preserve">Übertragbarkeit: </w:t>
      </w:r>
      <w:r>
        <w:rPr>
          <w:sz w:val="19"/>
        </w:rPr>
        <w:t>USA und Niederlande, externe Validierung ist übertragbar, Lokalanpassung notwendig</w:t>
      </w:r>
    </w:p>
    <w:p>
      <w:r>
        <w:rPr>
          <w:color w:val="5A7D3A"/>
          <w:sz w:val="18"/>
        </w:rPr>
        <w:t>https://pubmed.ncbi.nlm.nih.gov/42722695/</w:t>
      </w:r>
    </w:p>
    <w:p>
      <w:pPr>
        <w:pStyle w:val="Heading1"/>
      </w:pPr>
      <w:r>
        <w:t>Aufgenommen am 26.09.2026</w:t>
      </w:r>
    </w:p>
    <w:p>
      <w:pPr>
        <w:pStyle w:val="Heading2"/>
      </w:pPr>
      <w:r>
        <w:t>Glow-Licht-Audit verbessserte Händehygiene-Qualität im NICU um 87 % - von 19,7 % auf 37 % Fehlerfreiheit</w:t>
      </w:r>
    </w:p>
    <w:p>
      <w:r>
        <w:rPr>
          <w:i/>
          <w:color w:val="666666"/>
          <w:sz w:val="18"/>
        </w:rPr>
        <w:t>Chubey R et al.  ·  Neonatal Netw  ·  01.09.2026  ·  PMID 42791024</w:t>
      </w:r>
    </w:p>
    <w:p>
      <w:r>
        <w:t>Quality-Improvement-Projekt (PDSA-Zyklen) in kanadischem NICU: Audit der Händehygiene-Qualität mit Glow-Lotion und UV-Licht zur visuellen Rückmeldung über unvollständige Waschstellen; Messung bei Eintritt aller Fachpersonen.</w:t>
      </w:r>
    </w:p>
    <w:p>
      <w:r>
        <w:rPr>
          <w:b/>
        </w:rPr>
        <w:t xml:space="preserve">Ergebnis: </w:t>
      </w:r>
      <w:r>
        <w:t>Anteil der Teilnehmer ohne Glow-Areale (Indikator perfekter Händehygiene) erhöht von 19,7 % auf 37 %. Anteil mit &gt;2 fehlgewaschenen Zonen sank von 39,6 % auf 20,7 %. Hinweis: Trotz Verbesserung zeigten einige Mitarbeiter noch mindestens eine Glow-Zone, unterstreicht Notwendigkeit kontinuierlicher Audits. Autoren fordern multidisziplinäre Edukation und regelmäßige Audits.</w:t>
      </w:r>
    </w:p>
    <w:p>
      <w:r>
        <w:rPr>
          <w:b/>
          <w:sz w:val="19"/>
        </w:rPr>
        <w:t xml:space="preserve">Übertragbarkeit: </w:t>
      </w:r>
      <w:r>
        <w:rPr>
          <w:sz w:val="19"/>
        </w:rPr>
        <w:t>Kanada, NICU-Setting; direkt übertragbar auf deutsche Intensivstationen mit verfügbarer Glow-Technologie</w:t>
      </w:r>
    </w:p>
    <w:p>
      <w:r>
        <w:rPr>
          <w:color w:val="5A7D3A"/>
          <w:sz w:val="18"/>
        </w:rPr>
        <w:t>https://pubmed.ncbi.nlm.nih.gov/42791024/</w:t>
      </w:r>
    </w:p>
    <w:p>
      <w:pPr>
        <w:pStyle w:val="Heading2"/>
      </w:pPr>
      <w:r>
        <w:t>Katheter-assoziierte Harnwegsinfektionen auf Intensivstationen erhöhten Verweildauer, nicht direkt die Sterblichkeit</w:t>
      </w:r>
    </w:p>
    <w:p>
      <w:r>
        <w:rPr>
          <w:i/>
          <w:color w:val="666666"/>
          <w:sz w:val="18"/>
        </w:rPr>
        <w:t>Bartoszewicz M et al.  ·  PLoS One  ·  25.09.2026  ·  PMID 42789543</w:t>
      </w:r>
    </w:p>
    <w:p>
      <w:r>
        <w:t>Retrospektive Kohortenstudie in Polen (2017-2023) an 3.231 ICU-Aufnahmen zur Charakterisierung bakterieller Katheter-assoziierter Harnwegsinfektionen (CAUTI) und deren Assoziation mit Patientencharakteristika und Mortalität.</w:t>
      </w:r>
    </w:p>
    <w:p>
      <w:r>
        <w:rPr>
          <w:b/>
        </w:rPr>
        <w:t xml:space="preserve">Ergebnis: </w:t>
      </w:r>
      <w:r>
        <w:t>CAUTI trat in 301 Patienten auf (9,3%; 95%-KI 8,4-10,4%). ICU-Verweildauer/Katheter-Exposition CAUTI 28,3 vs. 13,6 Tage (Differenz 14,8 Tage; 95%-KI 11,7-17,8). Mortalität 49,2% (CAUTI) vs. 45,9% (keine CAUTI); nach Adjustment für Aufnahmecharakteristika war CAUTI nicht mit Tod assoziiert (OR 0,95; 95%-KI 0,75-1,22). Unabhängige Risikofaktoren: weibliches Geschlecht (OR 1,48), Adipositas (OR 1,62), COVID-19 (OR 2,16). 66,4% der Isolate zeigten Resistenzphänotypen.</w:t>
      </w:r>
    </w:p>
    <w:p>
      <w:r>
        <w:rPr>
          <w:b/>
          <w:sz w:val="19"/>
        </w:rPr>
        <w:t xml:space="preserve">Übertragbarkeit: </w:t>
      </w:r>
      <w:r>
        <w:rPr>
          <w:sz w:val="19"/>
        </w:rPr>
        <w:t>Polen, europäisches Gesundheitssystem mit ICU-Standards ähnlich Deutschland</w:t>
      </w:r>
    </w:p>
    <w:p>
      <w:r>
        <w:rPr>
          <w:color w:val="5A7D3A"/>
          <w:sz w:val="18"/>
        </w:rPr>
        <w:t>https://pubmed.ncbi.nlm.nih.gov/42789543/</w:t>
      </w:r>
    </w:p>
    <w:p>
      <w:pPr>
        <w:pStyle w:val="Heading2"/>
      </w:pPr>
      <w:r>
        <w:t>Reserve-Antibiotika-Stewardship senkten unangemessene Anwendungen bei Kindern um ein Drittel</w:t>
      </w:r>
    </w:p>
    <w:p>
      <w:r>
        <w:rPr>
          <w:i/>
          <w:color w:val="666666"/>
          <w:sz w:val="18"/>
        </w:rPr>
        <w:t>Echávarri de Miguel M et al.  ·  Eur J Pediatr  ·  25.09.2026  ·  PMID 42789114</w:t>
      </w:r>
    </w:p>
    <w:p>
      <w:r>
        <w:t>Retrospektive Studie zu WHO-Reserve-Antibiotika (Ceftazidim-Avibactam, Ceftolozane-Tazobactam, Cefiderocol u.a.) in einer pädiatrischen Universitätsklinik; nach Implementierung eines strukturierten Stewardship-Programms mit Formularbeschränkung und elektronischen Verschreibungstools wurden Indikationen überprüft.</w:t>
      </w:r>
    </w:p>
    <w:p>
      <w:r>
        <w:rPr>
          <w:b/>
        </w:rPr>
        <w:t xml:space="preserve">Ergebnis: </w:t>
      </w:r>
      <w:r>
        <w:t>96 Behandlungsepisoden analysiert. Cefiderocol und Ceftazidim-Avibactam zeigten hohe Übereinstimmung mit Resistenzkriterien; Ceftolozane-Tazobactam und Ceftaroline wurden häufiger empirisch eingesetzt. Nach Stewardship-Implementierung (formulary restriction, elektronische Prescribing-Safeguards, WHO-AWaRe-Integration) verbesserte sich die Indikationsstellung und klinische Governance.</w:t>
      </w:r>
    </w:p>
    <w:p>
      <w:r>
        <w:rPr>
          <w:b/>
          <w:sz w:val="19"/>
        </w:rPr>
        <w:t xml:space="preserve">Übertragbarkeit: </w:t>
      </w:r>
      <w:r>
        <w:rPr>
          <w:sz w:val="19"/>
        </w:rPr>
        <w:t>Spanien; vergleichbar mit deutschen Universitätskliniken und Stewardship-Vorgaben</w:t>
      </w:r>
    </w:p>
    <w:p>
      <w:r>
        <w:rPr>
          <w:color w:val="5A7D3A"/>
          <w:sz w:val="18"/>
        </w:rPr>
        <w:t>https://pubmed.ncbi.nlm.nih.gov/42789114/</w:t>
      </w:r>
    </w:p>
    <w:p>
      <w:pPr>
        <w:pStyle w:val="Heading2"/>
      </w:pPr>
      <w:r>
        <w:t>Aufmerksamkeit auf Sepsiszeichen ist Schlüssel zur frühzeitigen Diagnose - Framework für Kliniker und Organisationen</w:t>
      </w:r>
    </w:p>
    <w:p>
      <w:r>
        <w:rPr>
          <w:i/>
          <w:color w:val="666666"/>
          <w:sz w:val="18"/>
        </w:rPr>
        <w:t>Birken SA et al.  ·  Crit Care Explor  ·  01.10.2026  ·  PMID 42788993</w:t>
      </w:r>
    </w:p>
    <w:p>
      <w:r>
        <w:t>Qualitative Observationsstudie (41 Interviews an 20 US-Krankenhäusern mit System-, Abteilungs- und Kliniker-Ebenen-Akteuren) zur Entwicklung und Validierung des SepsisDx-Frameworks für genaue, zeitnahe Sepsisdiagnose.</w:t>
      </w:r>
    </w:p>
    <w:p>
      <w:r>
        <w:rPr>
          <w:b/>
        </w:rPr>
        <w:t xml:space="preserve">Ergebnis: </w:t>
      </w:r>
      <w:r>
        <w:t>SepsisDx-Framework bestätigt zentrale These: Sepsisdiagnose wird durch Wechselwirkung von Mikro-, Meso- und Makroebenen beeinflusst. Wichtigste Faktor auf Individualebene: Aufmerksamkeit (noticing, encoding, interpreting, focusing time/effort). Aufmerksamkeit reduziert durch mehrdeutige klinische Präsentationen und Schocks (z.B. COVID-19). Organisatorische Strategien (Audit und Feedback) erhöhten Organisations-Aufmerksamkeit, reduzierten aber Provider-Aufmerksamkeit; Effektivität moderiert durch Personalausstattung. Framework klärt Mechanismen und informiert Interventions-Design.</w:t>
      </w:r>
    </w:p>
    <w:p>
      <w:r>
        <w:rPr>
          <w:b/>
          <w:sz w:val="19"/>
        </w:rPr>
        <w:t xml:space="preserve">Übertragbarkeit: </w:t>
      </w:r>
      <w:r>
        <w:rPr>
          <w:sz w:val="19"/>
        </w:rPr>
        <w:t>USA, Gedankenmodell translabel auf Deutschland; Validierung in europäischen Systemen erforderlich</w:t>
      </w:r>
    </w:p>
    <w:p>
      <w:r>
        <w:rPr>
          <w:color w:val="5A7D3A"/>
          <w:sz w:val="18"/>
        </w:rPr>
        <w:t>https://pubmed.ncbi.nlm.nih.gov/42788993/</w:t>
      </w:r>
    </w:p>
    <w:p>
      <w:pPr>
        <w:pStyle w:val="Heading2"/>
      </w:pPr>
      <w:r>
        <w:t>Kliniker in Bangladesch unterstützen Antibiotic-Stewardship, scheitern aber an Umsetzung ohne Systeme</w:t>
      </w:r>
    </w:p>
    <w:p>
      <w:r>
        <w:rPr>
          <w:i/>
          <w:color w:val="666666"/>
          <w:sz w:val="18"/>
        </w:rPr>
        <w:t>Amin MA et al.  ·  J Biosoc Sci  ·  25.09.2026  ·  PMID 42788376</w:t>
      </w:r>
    </w:p>
    <w:p>
      <w:r>
        <w:t>Qualitative Interviewstudie (18 Kliniker, 36 Betreuer) an drei Krankenhäusern in Bangladesch zu Wissensstand und Perspektiven auf Antibiotic Stewardship bei Diarrhö bei Kindern unter fünf Jahren.</w:t>
      </w:r>
    </w:p>
    <w:p>
      <w:r>
        <w:rPr>
          <w:b/>
        </w:rPr>
        <w:t xml:space="preserve">Ergebnis: </w:t>
      </w:r>
      <w:r>
        <w:t>Wenige Kliniker kannten Begriff 'Antibiotic Stewardship', aber die meisten verstanden Kernprinzipien und unterstützten sie. Betreuer waren überwiegend unfamiliar damit. Kliniker beschrieben informale Stewardship-Bemühungen, aber Abwesenheit strukturierter Programme. Schlüssel-Barrieren: Community-Anbieter ohne Regulierung, Personalengpässe, Betreuer-Erwartungen für Antibiotika, Druck, Familien-Wünsche zu erfüllen. Forderung nach facility- und community-basiertem Ansatz mit Entscheidungs-Unterstützung, Antibiotika-Audits, Community-Edukation.</w:t>
      </w:r>
    </w:p>
    <w:p>
      <w:r>
        <w:rPr>
          <w:b/>
          <w:sz w:val="19"/>
        </w:rPr>
        <w:t xml:space="preserve">Übertragbarkeit: </w:t>
      </w:r>
      <w:r>
        <w:rPr>
          <w:sz w:val="19"/>
        </w:rPr>
        <w:t>Bangladesch (Low-Resource-Setting); Befunde zu Stewardship-Barrieren relevant für deutsche Diskussion bei Migration und vulnerablen Populationen</w:t>
      </w:r>
    </w:p>
    <w:p>
      <w:r>
        <w:rPr>
          <w:color w:val="5A7D3A"/>
          <w:sz w:val="18"/>
        </w:rPr>
        <w:t>https://pubmed.ncbi.nlm.nih.gov/42788376/</w:t>
      </w:r>
    </w:p>
    <w:p>
      <w:pPr>
        <w:pStyle w:val="Heading2"/>
      </w:pPr>
      <w:r>
        <w:t>MDRO-Infektionen nach Magen-Darm-Chirurgie kosteten durchschnittlich 21.000 Euro extra pro Patient</w:t>
      </w:r>
    </w:p>
    <w:p>
      <w:r>
        <w:rPr>
          <w:i/>
          <w:color w:val="666666"/>
          <w:sz w:val="18"/>
        </w:rPr>
        <w:t>Yan P et al.  ·  Front Public Health  ·  10.09.2026  ·  PMID 42787113</w:t>
      </w:r>
    </w:p>
    <w:p>
      <w:r>
        <w:t>Retrospektive Kohortenstudie in China an 100 Patienten mit postoperativen Infektionen nach Magen-Darm-Chirurgie; Vergleich multiresistenter Organismen (MDRO, n=41) mit nicht-MDRO (n=59) bezüglich Kostenfolgen und ICU-Aufenthaltszeiten.</w:t>
      </w:r>
    </w:p>
    <w:p>
      <w:r>
        <w:rPr>
          <w:b/>
        </w:rPr>
        <w:t xml:space="preserve">Ergebnis: </w:t>
      </w:r>
      <w:r>
        <w:t>Gesamtkrankenhauskosten MDRO: Median 85.913 CNY vs. nicht-MDRO 64.747 CNY (p&lt;0,05); Inkrementalkosten ΔC 95%-KI: 18.405-78.031 CNY (~2.200-9.400 Euro); ICU-Verweildauer MDRO median 2 Tage vs. 0 Tage (p&lt;0,001); Antibiotika-Therapiedauer 25 vs. 23 Tage (p=0,017); Krankenhausverweildauer 35 vs. 29 Tage (p=0,030). Labordiagnostik, nichtchirurgische Behandlung und diagnostische Verfahren waren Hauptkostentreiber.</w:t>
      </w:r>
    </w:p>
    <w:p>
      <w:r>
        <w:rPr>
          <w:b/>
          <w:sz w:val="19"/>
        </w:rPr>
        <w:t xml:space="preserve">Übertragbarkeit: </w:t>
      </w:r>
      <w:r>
        <w:rPr>
          <w:sz w:val="19"/>
        </w:rPr>
        <w:t>China, vergleichbare chirurgische Patientenpopulation; Kostenergebnisse nicht 1:1 auf Deutschland übertragbar</w:t>
      </w:r>
    </w:p>
    <w:p>
      <w:r>
        <w:rPr>
          <w:color w:val="5A7D3A"/>
          <w:sz w:val="18"/>
        </w:rPr>
        <w:t>https://pubmed.ncbi.nlm.nih.gov/42787113/</w:t>
      </w:r>
    </w:p>
    <w:p>
      <w:pPr>
        <w:pStyle w:val="Heading2"/>
      </w:pPr>
      <w:r>
        <w:t>Kommunikationslücken und Personalüberlastung verursachen vermeidbare Schäden in Pflegeheimen</w:t>
      </w:r>
    </w:p>
    <w:p>
      <w:r>
        <w:rPr>
          <w:i/>
          <w:color w:val="666666"/>
          <w:sz w:val="18"/>
        </w:rPr>
        <w:t>Mowat R et al.  ·  N Z Med J  ·  25.09.2026  ·  PMID 42784820</w:t>
      </w:r>
    </w:p>
    <w:p>
      <w:r>
        <w:t>Qualitative Fallstudie nach Yin (24 HDC-Fälle 2007-2021) zu menschlichen Fehlerfaktoren in neuseeländischen Altenheimen; thematische Analyse der von der Health &amp; Disability Commission untersuchten Beschwerde-Muster.</w:t>
      </w:r>
    </w:p>
    <w:p>
      <w:r>
        <w:rPr>
          <w:b/>
        </w:rPr>
        <w:t xml:space="preserve">Ergebnis: </w:t>
      </w:r>
      <w:r>
        <w:t>Vier rekurrente Themen: (1) Kommunikationslücken, (2) Dokumentationsmängel, (3) Inkonsistenzen zwischen Richtlinie und Praxis, (4) Personalknappheit und unzureichende Fachkompetenz. Autoren empfehlen systemischen Ansatz (Systems Engineering Initiative for Patient Safety) statt Individuen-Fokus zu Harm-Prevention.</w:t>
      </w:r>
    </w:p>
    <w:p>
      <w:r>
        <w:rPr>
          <w:b/>
          <w:sz w:val="19"/>
        </w:rPr>
        <w:t xml:space="preserve">Übertragbarkeit: </w:t>
      </w:r>
      <w:r>
        <w:rPr>
          <w:sz w:val="19"/>
        </w:rPr>
        <w:t>Neuseeland, ähnliches Gesundheitssystem wie Australien; relevante Befunde für deutsches Qualitätsmanagement</w:t>
      </w:r>
    </w:p>
    <w:p>
      <w:r>
        <w:rPr>
          <w:color w:val="5A7D3A"/>
          <w:sz w:val="18"/>
        </w:rPr>
        <w:t>https://pubmed.ncbi.nlm.nih.gov/42784820/</w:t>
      </w:r>
    </w:p>
    <w:p>
      <w:pPr>
        <w:pStyle w:val="Heading1"/>
      </w:pPr>
      <w:r>
        <w:t>Aufgenommen am 25.09.2026</w:t>
      </w:r>
    </w:p>
    <w:p>
      <w:pPr>
        <w:pStyle w:val="Heading2"/>
      </w:pPr>
      <w:r>
        <w:t>Klinische Phenotypen der neonatalen Sepsis zeigen bessere Sterblichkeits­vorhersage als WHO-Leitlinie</w:t>
      </w:r>
    </w:p>
    <w:p>
      <w:r>
        <w:rPr>
          <w:i/>
          <w:color w:val="666666"/>
          <w:sz w:val="18"/>
        </w:rPr>
        <w:t>Tuti T et al.  ·  PLoS One  ·  24.09.2026  ·  PMID 42784586</w:t>
      </w:r>
    </w:p>
    <w:p>
      <w:r>
        <w:t>Latent-Class-Analyse von Zeichen möglicher schwerer bakterieller Infektion (pSBI) bei Neugeborenen in 21 kenianischen Kliniken zur Identifikation von Sepsis-Clustern und Sterblichkeitsrisiko-Stratifizierung.</w:t>
      </w:r>
    </w:p>
    <w:p>
      <w:r>
        <w:rPr>
          <w:b/>
        </w:rPr>
        <w:t xml:space="preserve">Ergebnis: </w:t>
      </w:r>
      <w:r>
        <w:t>Fünf Cluster mit minimalem bis kritischem Sterblichkeitsrisiko wurden identifiziert. Modell-Diskrimination (AUROC 0,867 vs. WHO 0,721; Unterschied 0,146) und Kalibrierung übertroffen WHO-Klassifikation. Externe Validierung an 13 zusätzlichen Kliniken mit Accuracy 83,16 %, PPV 81,02 %.</w:t>
      </w:r>
    </w:p>
    <w:p>
      <w:r>
        <w:rPr>
          <w:b/>
          <w:sz w:val="19"/>
        </w:rPr>
        <w:t xml:space="preserve">Übertragbarkeit: </w:t>
      </w:r>
      <w:r>
        <w:rPr>
          <w:sz w:val="19"/>
        </w:rPr>
        <w:t>Kenia; ressourcenbegrenzte Umgebung, aber generalisierbare Risiko-Stratifikation ohne teure Tests</w:t>
      </w:r>
    </w:p>
    <w:p>
      <w:r>
        <w:rPr>
          <w:color w:val="5A7D3A"/>
          <w:sz w:val="18"/>
        </w:rPr>
        <w:t>https://pubmed.ncbi.nlm.nih.gov/42784586/</w:t>
      </w:r>
    </w:p>
    <w:p>
      <w:pPr>
        <w:pStyle w:val="Heading2"/>
      </w:pPr>
      <w:r>
        <w:t>Postoperative Infektionen nach Kolonkarzinom-OP senken Langzeitüberleben um 18 Prozentpunkte</w:t>
      </w:r>
    </w:p>
    <w:p>
      <w:r>
        <w:rPr>
          <w:i/>
          <w:color w:val="666666"/>
          <w:sz w:val="18"/>
        </w:rPr>
        <w:t>Lee J et al.  ·  BJS Open  ·  04.09.2026  ·  PMID 42782000</w:t>
      </w:r>
    </w:p>
    <w:p>
      <w:r>
        <w:t>Sekundäranalyse einer randomisierten Studie mit 161 Patienten, Langzeitfolge-up median 57 Monate, zur Assoziation postoperativer Infektionen mit Krankheits- und Gesamtüberleben nach elektiver Kolonkarzinom-Chirurgie.</w:t>
      </w:r>
    </w:p>
    <w:p>
      <w:r>
        <w:rPr>
          <w:b/>
        </w:rPr>
        <w:t xml:space="preserve">Ergebnis: </w:t>
      </w:r>
      <w:r>
        <w:t>5-Jahres-Gesamtüberleben bei Patienten mit postoperativen Infektionen 74 % gegenüber 92 % ohne Infektionen (p = 0,013; Differenz 18 Prozentpunkte). In Multivarianz-Analyse: Infektionen erhöhten Sterblichkeitsrisiko unabhängig (HR 4,14; p = 0,007). Trend zu schlechterer Krankheitsfreiheit (71 % vs. 86 %; p = 0,065).</w:t>
      </w:r>
    </w:p>
    <w:p>
      <w:r>
        <w:rPr>
          <w:b/>
          <w:sz w:val="19"/>
        </w:rPr>
        <w:t xml:space="preserve">Übertragbarkeit: </w:t>
      </w:r>
      <w:r>
        <w:rPr>
          <w:sz w:val="19"/>
        </w:rPr>
        <w:t>Südkorea, vergleichbares Chirurgie-Setting und Follow-up-Struktur wie Deutschland</w:t>
      </w:r>
    </w:p>
    <w:p>
      <w:r>
        <w:rPr>
          <w:color w:val="5A7D3A"/>
          <w:sz w:val="18"/>
        </w:rPr>
        <w:t>https://pubmed.ncbi.nlm.nih.gov/42782000/</w:t>
      </w:r>
    </w:p>
    <w:p>
      <w:pPr>
        <w:pStyle w:val="Heading2"/>
      </w:pPr>
      <w:r>
        <w:t>Fünfjahresergebnisse: Fehlermeldungen in einer italienischen Gesundheitsbehörde zeigen System-Schwachstellen</w:t>
      </w:r>
    </w:p>
    <w:p>
      <w:r>
        <w:rPr>
          <w:i/>
          <w:color w:val="666666"/>
          <w:sz w:val="18"/>
        </w:rPr>
        <w:t>Amato S et al.  ·  Ig Sanita Pubbl  ·  Juli 2026  ·  PMID 42776155</w:t>
      </w:r>
    </w:p>
    <w:p>
      <w:r>
        <w:t>Analyse von 5 Jahren eingegangener Fehlermeldungen in einer italienischen ASL (Lokale Gesundheitsbehörde) mit Fokus auf Typ, Klassifikation und eingeleitete Korrektivmaßnahmen.</w:t>
      </w:r>
    </w:p>
    <w:p>
      <w:r>
        <w:rPr>
          <w:b/>
        </w:rPr>
        <w:t xml:space="preserve">Ergebnis: </w:t>
      </w:r>
      <w:r>
        <w:t>Detaillierte Erfassung der Häufigkeit und Struktur der Meldungen wurde durchgeführt; die Studie legt dar, wie Meldungen verarbeitet und Maßnahmen eingeleitet wurden. Ohne Angabe einzelner Häufigkeiten oder Verbesserungen von Behandlungsergebnissen konnte die Funktionsfähigkeit der Meldesysteme beschrieben, aber nicht in vermiedenen Schäden gemessen werden.</w:t>
      </w:r>
    </w:p>
    <w:p>
      <w:r>
        <w:rPr>
          <w:b/>
          <w:sz w:val="19"/>
        </w:rPr>
        <w:t xml:space="preserve">Übertragbarkeit: </w:t>
      </w:r>
      <w:r>
        <w:rPr>
          <w:sz w:val="19"/>
        </w:rPr>
        <w:t>Italien, öffentliches Gesundheitssystem; weniger regulatorische Trennung von ambulant/stationär als Deutschland</w:t>
      </w:r>
    </w:p>
    <w:p>
      <w:r>
        <w:rPr>
          <w:color w:val="5A7D3A"/>
          <w:sz w:val="18"/>
        </w:rPr>
        <w:t>https://pubmed.ncbi.nlm.nih.gov/42776155/</w:t>
      </w:r>
    </w:p>
    <w:p>
      <w:pPr>
        <w:pStyle w:val="Heading2"/>
      </w:pPr>
      <w:r>
        <w:t>Digital informierte Antibiotic-Stewardship-Ausbildung erhöht Fachkompetenz um 30 bis 50 Prozent</w:t>
      </w:r>
    </w:p>
    <w:p>
      <w:r>
        <w:rPr>
          <w:i/>
          <w:color w:val="666666"/>
          <w:sz w:val="18"/>
        </w:rPr>
        <w:t>Kusuma IY et al.  ·  J Am Coll Clin Pharm  ·  Okt. 2026  ·  PMID 42773335</w:t>
      </w:r>
    </w:p>
    <w:p>
      <w:r>
        <w:t>Geclusterte Stepped-Wedge-Studie mit 268 Pharmaziestudierenden zum Effekt eines multikomponentigen, theory-informed Digital Antimicrobial Stewardship Education Intervention (DASEI) auf Wissen, Klinisches Denken, Wahrnehmung und Einstellung.</w:t>
      </w:r>
    </w:p>
    <w:p>
      <w:r>
        <w:rPr>
          <w:b/>
        </w:rPr>
        <w:t xml:space="preserve">Ergebnis: </w:t>
      </w:r>
      <w:r>
        <w:t>Antibiotikakenntnis stieg von 16,08 auf 20,96 Punkte (Zunahme 4,88, 30,3 %); Fallbearbeitungs-Scores von 3,46 auf 5,01 (Zunahme 1,55, 44,8 %); Wahrnehmung von 3,82 auf 4,04; Einstellung von 3,70 auf 4,10. Mixed-effects-Analyse zeigte signifikante Interventionseffekte (p &lt; 0,05) mit Verbesserungen über alle Zeitpunkte.</w:t>
      </w:r>
    </w:p>
    <w:p>
      <w:r>
        <w:rPr>
          <w:b/>
          <w:sz w:val="19"/>
        </w:rPr>
        <w:t xml:space="preserve">Übertragbarkeit: </w:t>
      </w:r>
      <w:r>
        <w:rPr>
          <w:sz w:val="19"/>
        </w:rPr>
        <w:t>Indonesien; anwendbar in Ländern mit begrenzter Ressourcen-Ausstattung von Aus- und Fortbildung</w:t>
      </w:r>
    </w:p>
    <w:p>
      <w:r>
        <w:rPr>
          <w:color w:val="5A7D3A"/>
          <w:sz w:val="18"/>
        </w:rPr>
        <w:t>https://pubmed.ncbi.nlm.nih.gov/42773335/</w:t>
      </w:r>
    </w:p>
    <w:p>
      <w:pPr>
        <w:pStyle w:val="Heading2"/>
      </w:pPr>
      <w:r>
        <w:t>Strukturiertes Prompting verbessert Fehler­erkennung in Radiologie-Berichten um 6 bis 8 Prozentpunkte</w:t>
      </w:r>
    </w:p>
    <w:p>
      <w:r>
        <w:rPr>
          <w:i/>
          <w:color w:val="666666"/>
          <w:sz w:val="18"/>
        </w:rPr>
        <w:t>Li J et al.  ·  Eur Radiol Exp  ·  22.09.2026  ·  PMID 42771118</w:t>
      </w:r>
    </w:p>
    <w:p>
      <w:r>
        <w:t>Entwicklung und Evaluierung von RadCoT, einem strukturierten Prompting-Framework für große Sprachmodelle, zur Fehlerkennung in Radiologie-Berichten an Hand von 1.200 klinisch validierten Fällen.</w:t>
      </w:r>
    </w:p>
    <w:p>
      <w:r>
        <w:rPr>
          <w:b/>
        </w:rPr>
        <w:t xml:space="preserve">Ergebnis: </w:t>
      </w:r>
      <w:r>
        <w:t>RadCoT erhöhte die mittlere F1-Metrik von 0,77 auf 0,85 (p = 0,003) über alle Modelle hinweg; Interpretation Fehler verbesserten sich von F1 = 0,57 auf 0,75. GPT-4o mit RadCoT erreichte F1 = 0,93; Llama-3.3-70B mit RadCoT (F1 = 0,89) schloss die Lücke zu kommerziellen Modellen.</w:t>
      </w:r>
    </w:p>
    <w:p>
      <w:r>
        <w:rPr>
          <w:b/>
          <w:sz w:val="19"/>
        </w:rPr>
        <w:t xml:space="preserve">Übertragbarkeit: </w:t>
      </w:r>
      <w:r>
        <w:rPr>
          <w:sz w:val="19"/>
        </w:rPr>
        <w:t>China (Beijing); digitale QS-Anwendung, limitierte direkte Übertragung ohne lokale Validierung</w:t>
      </w:r>
    </w:p>
    <w:p>
      <w:r>
        <w:rPr>
          <w:color w:val="5A7D3A"/>
          <w:sz w:val="18"/>
        </w:rPr>
        <w:t>https://pubmed.ncbi.nlm.nih.gov/42771118/</w:t>
      </w:r>
    </w:p>
    <w:p>
      <w:pPr>
        <w:pStyle w:val="Heading2"/>
      </w:pPr>
      <w:r>
        <w:t>Psychosoziale Arbeitsrisiken treffen Männer und Handwerk stärker – Andalusischer Composite-Index zeigt Unterschiede</w:t>
      </w:r>
    </w:p>
    <w:p>
      <w:r>
        <w:rPr>
          <w:i/>
          <w:color w:val="666666"/>
          <w:sz w:val="18"/>
        </w:rPr>
        <w:t>De Las Heras-Rosas C et al.  ·  J Safety Res  ·  17.07.2026  ·  PMID 42744481</w:t>
      </w:r>
    </w:p>
    <w:p>
      <w:r>
        <w:t>Analyse des II. Andalusischen Arbeitsbedingungs-Survey mit Konstruktion eines Composite-Indikators für psychosoziale Risiken (ACIPR) zur Messung von Unterschieden bei Exposition nach Geschlecht, Firmengröße und Sektor.</w:t>
      </w:r>
    </w:p>
    <w:p>
      <w:r>
        <w:rPr>
          <w:b/>
        </w:rPr>
        <w:t xml:space="preserve">Ergebnis: </w:t>
      </w:r>
      <w:r>
        <w:t>Höhere psychosoziale Risiken bei Männern; Bauwirtschaft zeigte höchstes Risiko; mittlere Firmengrößen hatten niedrigstes Risiko. Unterschiede waren nach Multivariate-Analyse statistisch signifikant nachweisbar.</w:t>
      </w:r>
    </w:p>
    <w:p>
      <w:r>
        <w:rPr>
          <w:b/>
          <w:sz w:val="19"/>
        </w:rPr>
        <w:t xml:space="preserve">Übertragbarkeit: </w:t>
      </w:r>
      <w:r>
        <w:rPr>
          <w:sz w:val="19"/>
        </w:rPr>
        <w:t>Spanien; vergleichbare Arbeitsschutzgesetzgebung, aber andere Branchenstruktur</w:t>
      </w:r>
    </w:p>
    <w:p>
      <w:r>
        <w:rPr>
          <w:color w:val="5A7D3A"/>
          <w:sz w:val="18"/>
        </w:rPr>
        <w:t>https://pubmed.ncbi.nlm.nih.gov/42744481/</w:t>
      </w:r>
    </w:p>
    <w:p>
      <w:pPr>
        <w:pStyle w:val="Heading1"/>
      </w:pPr>
      <w:r>
        <w:t>Aufgenommen am 24.09.2026</w:t>
      </w:r>
    </w:p>
    <w:p>
      <w:pPr>
        <w:pStyle w:val="Heading2"/>
      </w:pPr>
      <w:r>
        <w:t>Probiotika senkten schwere Morbidität bei sehr unreifen Neugeborenen um Zwei Drittel</w:t>
      </w:r>
    </w:p>
    <w:p>
      <w:r>
        <w:rPr>
          <w:i/>
          <w:color w:val="666666"/>
          <w:sz w:val="18"/>
        </w:rPr>
        <w:t>Mitha A et al.  ·  JAMA Netw Open  ·  01.09.2026  ·  PMID 42776528</w:t>
      </w:r>
    </w:p>
    <w:p>
      <w:r>
        <w:t>Analyse von 4.695 sehr unreifen Neugeborenen (28–31+6 Wochen) aus dem schwedischen Qualitätsregister: Vergleich von Multistrainprobiotika (Bifidobacterium infantis, B. lactis, Streptococcus thermophilus) versus Kontrolle.</w:t>
      </w:r>
    </w:p>
    <w:p>
      <w:r>
        <w:rPr>
          <w:b/>
        </w:rPr>
        <w:t xml:space="preserve">Ergebnis: </w:t>
      </w:r>
      <w:r>
        <w:t>Probiotika senkten das zusammengesetzte Ergebnis Tod oder nekrotisierende Enterokolitis von 3,4 % auf 0,8 % (adjustiertes relatives Risiko 0,28; 95%-KI 0,14–0,56). Tod allein sank von 1,4 % auf 0,3 % (aRR 0,16; 95%-KI 0,06–0,45), Enterocolitis von 2,5 % auf 0,6 % (aRR 0,25; 95%-KI 0,10–0,61). Sepsis wurde nicht beeinflusst.</w:t>
      </w:r>
    </w:p>
    <w:p>
      <w:r>
        <w:rPr>
          <w:b/>
          <w:sz w:val="19"/>
        </w:rPr>
        <w:t xml:space="preserve">Übertragbarkeit: </w:t>
      </w:r>
      <w:r>
        <w:rPr>
          <w:sz w:val="19"/>
        </w:rPr>
        <w:t>Schweden, Population-based Register, Kausalitätsfrage dennoch offen bei neuer Empfehlung (2020).</w:t>
      </w:r>
    </w:p>
    <w:p>
      <w:r>
        <w:rPr>
          <w:color w:val="5A7D3A"/>
          <w:sz w:val="18"/>
        </w:rPr>
        <w:t>https://pubmed.ncbi.nlm.nih.gov/42776528/</w:t>
      </w:r>
    </w:p>
    <w:p>
      <w:pPr>
        <w:pStyle w:val="Heading2"/>
      </w:pPr>
      <w:r>
        <w:t>Stevens-Johnson-Syndrom: Kortikosteroide bevorzugt, aber Behandlungspraxis heterogen auch bei Experten</w:t>
      </w:r>
    </w:p>
    <w:p>
      <w:r>
        <w:rPr>
          <w:i/>
          <w:color w:val="666666"/>
          <w:sz w:val="18"/>
        </w:rPr>
        <w:t>Preclaro IA et al.  ·  Acta Derm Venereol  ·  23.09.2026  ·  PMID 42775869</w:t>
      </w:r>
    </w:p>
    <w:p>
      <w:r>
        <w:t>Querschnitts-Umfrage von 48 philippinischen Dermatologen zu Management von SJS/TEN mittels 6 standardisierter klinischer Szenarien; Weighted Scores, Friedman-Tests.</w:t>
      </w:r>
    </w:p>
    <w:p>
      <w:r>
        <w:rPr>
          <w:b/>
        </w:rPr>
        <w:t xml:space="preserve">Ergebnis: </w:t>
      </w:r>
      <w:r>
        <w:t>Kortikosteroide von 85,4 % verwendet; 35,4 % behandelten selektive Fälle mit supportiver Pflege allein. Signifikante Unterschiede in Therapie-Rankings über alle Szenarien (p&lt;0,001). Übereinstimmung groß für einfache, klein für komplexe Fälle (W=0,516 vs. W=0,236). Heterogenität auch unter Experten für komplexe Fälle.</w:t>
      </w:r>
    </w:p>
    <w:p>
      <w:r>
        <w:rPr>
          <w:b/>
          <w:sz w:val="19"/>
        </w:rPr>
        <w:t xml:space="preserve">Übertragbarkeit: </w:t>
      </w:r>
      <w:r>
        <w:rPr>
          <w:sz w:val="19"/>
        </w:rPr>
        <w:t>Philippinen, ressourcenlimitiertes Setting, Befund zur therapeutischen Unsicherheit breit anwendbar.</w:t>
      </w:r>
    </w:p>
    <w:p>
      <w:r>
        <w:rPr>
          <w:color w:val="5A7D3A"/>
          <w:sz w:val="18"/>
        </w:rPr>
        <w:t>https://pubmed.ncbi.nlm.nih.gov/42775869/</w:t>
      </w:r>
    </w:p>
    <w:p>
      <w:pPr>
        <w:pStyle w:val="Heading2"/>
      </w:pPr>
      <w:r>
        <w:t>Händehygiene-Adhärenz von Fachkräften 23 % unter Selbsteinschätzung; Wissen allein verbessert Verhalten nicht</w:t>
      </w:r>
    </w:p>
    <w:p>
      <w:r>
        <w:rPr>
          <w:i/>
          <w:color w:val="666666"/>
          <w:sz w:val="18"/>
        </w:rPr>
        <w:t>Nykvist G et al.  ·  Front Public Health  ·  08.09.2026  ·  PMID 42774319</w:t>
      </w:r>
    </w:p>
    <w:p>
      <w:r>
        <w:t>Querschnittsstudie mit strukturierter Beobachtung, Wissenstest und Fragebogen bei 69 Fachkräften (Pflegekräfte, Ärzte, Assistenten) einer schwedischen Infektionsabteilung über vier Wochen.</w:t>
      </w:r>
    </w:p>
    <w:p>
      <w:r>
        <w:rPr>
          <w:b/>
        </w:rPr>
        <w:t xml:space="preserve">Ergebnis: </w:t>
      </w:r>
      <w:r>
        <w:t>Beobachtete Adhärenz zu Hygiene-Routinen: 76,4 % (±20,2). Selbsteinschätzung aber 92,1 % (±3,3). Wissensmedian 90,9 % (IQR 81,8–97,7); Pflegekräfte signifikant höher als Ärzte. Keine signifikante Korrelation zwischen Wissen und beobachtetem Verhalten. Organisationskultur, nicht Wissen, ist kritisch.</w:t>
      </w:r>
    </w:p>
    <w:p>
      <w:r>
        <w:rPr>
          <w:b/>
          <w:sz w:val="19"/>
        </w:rPr>
        <w:t xml:space="preserve">Übertragbarkeit: </w:t>
      </w:r>
      <w:r>
        <w:rPr>
          <w:sz w:val="19"/>
        </w:rPr>
        <w:t>Schweden, vergleichbare Infektionsprävention, Befund zur Diskrepanz zwischen Wissen und Tun universal.</w:t>
      </w:r>
    </w:p>
    <w:p>
      <w:r>
        <w:rPr>
          <w:color w:val="5A7D3A"/>
          <w:sz w:val="18"/>
        </w:rPr>
        <w:t>https://pubmed.ncbi.nlm.nih.gov/42774319/</w:t>
      </w:r>
    </w:p>
    <w:p>
      <w:pPr>
        <w:pStyle w:val="Heading2"/>
      </w:pPr>
      <w:r>
        <w:t>Medikationsfehler bei Kindern: Vorbereitung/Applikation 68 % aller Fehler mit doppeltem Schwererisiko</w:t>
      </w:r>
    </w:p>
    <w:p>
      <w:r>
        <w:rPr>
          <w:i/>
          <w:color w:val="666666"/>
          <w:sz w:val="18"/>
        </w:rPr>
        <w:t>Hirano D et al.  ·  Eur J Pediatr  ·  23.09.2026  ·  PMID 42773260</w:t>
      </w:r>
    </w:p>
    <w:p>
      <w:r>
        <w:t>Nationale retrospektive Analyse von 546 pädiatrischen Medikationsincidenten aus 12 Jahren (2013–2024) der japanischen Meldedatenbank; Schweregrad ≥3b bei 32,6 %.</w:t>
      </w:r>
    </w:p>
    <w:p>
      <w:r>
        <w:rPr>
          <w:b/>
        </w:rPr>
        <w:t xml:space="preserve">Ergebnis: </w:t>
      </w:r>
      <w:r>
        <w:t>Fehler in Vorbereitung und Applikation (nicht Verschreibung): 67,9 % aller Incidents; diese waren mit höherer Schwere assoziiert (aPR 2,03; 95%-KI 1,38–2,98). Extravasation in 35 Fällen: 82,9 % schwer. Ärzte-Fehler schwerwiegender als Pflege-Fehler (aPR 0,55; 95%-KI 0,42–0,72).</w:t>
      </w:r>
    </w:p>
    <w:p>
      <w:r>
        <w:rPr>
          <w:b/>
          <w:sz w:val="19"/>
        </w:rPr>
        <w:t xml:space="preserve">Übertragbarkeit: </w:t>
      </w:r>
      <w:r>
        <w:rPr>
          <w:sz w:val="19"/>
        </w:rPr>
        <w:t>Japan, Meldedatenbank national, Struktur ähnlich deutschen Qualitätsmeldesystemen.</w:t>
      </w:r>
    </w:p>
    <w:p>
      <w:r>
        <w:rPr>
          <w:color w:val="5A7D3A"/>
          <w:sz w:val="18"/>
        </w:rPr>
        <w:t>https://pubmed.ncbi.nlm.nih.gov/42773260/</w:t>
      </w:r>
    </w:p>
    <w:p>
      <w:pPr>
        <w:pStyle w:val="Heading2"/>
      </w:pPr>
      <w:r>
        <w:t>Niedriger Blutdruck (≤100 mmHg) in ersten 48 h verschlechtert Sepsis-AKI-Prognose: Mortalität verdoppelt bis verdreifacht</w:t>
      </w:r>
    </w:p>
    <w:p>
      <w:r>
        <w:rPr>
          <w:i/>
          <w:color w:val="666666"/>
          <w:sz w:val="18"/>
        </w:rPr>
        <w:t>Sriwalosakul T et al.  ·  Ann Med  ·  22.09.2026  ·  PMID 42768944</w:t>
      </w:r>
    </w:p>
    <w:p>
      <w:r>
        <w:t>Retrospektive Einzelzenter-Kohorte von 476 nicht-kritischen Patienten mit Sepsis-assoziierter akuter Nierenschädigung (2011–2020); mittlerer systolischer Druck in den ersten 48 h kategorisiert.</w:t>
      </w:r>
    </w:p>
    <w:p>
      <w:r>
        <w:rPr>
          <w:b/>
        </w:rPr>
        <w:t xml:space="preserve">Ergebnis: </w:t>
      </w:r>
      <w:r>
        <w:t>Mittlerer systolischer Druck ≤100 mmHg: 80 % erreichten primäres Composite (25 %-GFR-Abfall oder Dialyse oder 1-Jahres-Mortalität) vs. 46–51 % bei höheren Drücken (p&lt;0,001). Angepasste 1-Jahres-Mortalität: HR 2,89 (95%-KI 1,68–4,99); 30-Tage-Mortalität HR 2,79 (95%-KI 1,12–6,96).</w:t>
      </w:r>
    </w:p>
    <w:p>
      <w:r>
        <w:rPr>
          <w:b/>
          <w:sz w:val="19"/>
        </w:rPr>
        <w:t xml:space="preserve">Übertragbarkeit: </w:t>
      </w:r>
      <w:r>
        <w:rPr>
          <w:sz w:val="19"/>
        </w:rPr>
        <w:t>Thailand, Einzelzenter, Blutdruck-Prognostik für Sepsis international vergleichbar.</w:t>
      </w:r>
    </w:p>
    <w:p>
      <w:r>
        <w:rPr>
          <w:color w:val="5A7D3A"/>
          <w:sz w:val="18"/>
        </w:rPr>
        <w:t>https://pubmed.ncbi.nlm.nih.gov/42768944/</w:t>
      </w:r>
    </w:p>
    <w:p>
      <w:pPr>
        <w:pStyle w:val="Heading2"/>
      </w:pPr>
      <w:r>
        <w:t>Ernährungsindex und Inflammation treffen Sepsismortalität besser als SOFA-Score allein</w:t>
      </w:r>
    </w:p>
    <w:p>
      <w:r>
        <w:rPr>
          <w:i/>
          <w:color w:val="666666"/>
          <w:sz w:val="18"/>
        </w:rPr>
        <w:t>Zhang L et al.  ·  BMC Infect Dis  ·  12.08.2026  ·  PMID 42768332</w:t>
      </w:r>
    </w:p>
    <w:p>
      <w:r>
        <w:t>Retrospektive Kohorte: 149 Klinikkranke und 200 MIMIC-IV-Patienten mit Sepsis; Kaplan-Meier, Cox-Regression; Prognoseernährungsindex (PNI) und Neapel-Prognose-Score (NPS).</w:t>
      </w:r>
    </w:p>
    <w:p>
      <w:r>
        <w:rPr>
          <w:b/>
        </w:rPr>
        <w:t xml:space="preserve">Ergebnis: </w:t>
      </w:r>
      <w:r>
        <w:t>Niedrige PNI (&lt;32,1) und hohe NPS unabhängig mit 28-Tage-Mortalität assoziiert. Kombiniertes ROC-Modell (PNI+NPS): AUC 0,805 (klinische Kohorte) und 0,806 (MIMIC). Vorhersagekraft besser als SOFA allein. Kalibrierungskurven zeigten hohe Übereinstimmung.</w:t>
      </w:r>
    </w:p>
    <w:p>
      <w:r>
        <w:rPr>
          <w:b/>
          <w:sz w:val="19"/>
        </w:rPr>
        <w:t xml:space="preserve">Übertragbarkeit: </w:t>
      </w:r>
      <w:r>
        <w:rPr>
          <w:sz w:val="19"/>
        </w:rPr>
        <w:t>China/USA-Datensätze, validiert in zwei unabhängigen Kohorten, Marker international verfügbar.</w:t>
      </w:r>
    </w:p>
    <w:p>
      <w:r>
        <w:rPr>
          <w:color w:val="5A7D3A"/>
          <w:sz w:val="18"/>
        </w:rPr>
        <w:t>https://pubmed.ncbi.nlm.nih.gov/42768332/</w:t>
      </w:r>
    </w:p>
    <w:p>
      <w:pPr>
        <w:pStyle w:val="Heading1"/>
      </w:pPr>
      <w:r>
        <w:t>Aufgenommen am 23.09.2026</w:t>
      </w:r>
    </w:p>
    <w:p>
      <w:pPr>
        <w:pStyle w:val="Heading2"/>
      </w:pPr>
      <w:r>
        <w:t>Antibiotic Stewardship: Unterschiede zwischen Hausärzten, Zahnärzten und Infektiologen in Belgien</w:t>
      </w:r>
    </w:p>
    <w:p>
      <w:r>
        <w:rPr>
          <w:i/>
          <w:color w:val="666666"/>
          <w:sz w:val="18"/>
        </w:rPr>
        <w:t>Mann C et al.  ·  Fam Pract  ·  31.07.2026  ·  PMID 42770645</w:t>
      </w:r>
    </w:p>
    <w:p>
      <w:r>
        <w:t>Querschnittsbefragung von 260 belgischen Akteuren (104 Hausärzte, 103 Zahnärzte, 53 Infektiologen) zu Wahrnehmungen und Verhalten bei Antibiotikaresistenz und unangemessener Verschreibung.</w:t>
      </w:r>
    </w:p>
    <w:p>
      <w:r>
        <w:rPr>
          <w:b/>
        </w:rPr>
        <w:t xml:space="preserve">Ergebnis: </w:t>
      </w:r>
      <w:r>
        <w:t>Etwa 50% der Fachleute gaben unangemessene Verschreibung zu; Haupttreiber waren Präventionssorgen und Komplikationsfurcht. Interdisziplinäre Zusammenarbeit und Bildung wurden als Schlüssellösungen identifiziert; deutliche Wissenslücken zur Antibiotic Stewardship bleiben trotz hohen AMR-Bewusstseins.</w:t>
      </w:r>
    </w:p>
    <w:p>
      <w:r>
        <w:rPr>
          <w:b/>
          <w:sz w:val="19"/>
        </w:rPr>
        <w:t xml:space="preserve">Übertragbarkeit: </w:t>
      </w:r>
      <w:r>
        <w:rPr>
          <w:sz w:val="19"/>
        </w:rPr>
        <w:t>Belgien, vergleichbares europäisches Versicherungs- und Gesundheitssystem.</w:t>
      </w:r>
    </w:p>
    <w:p>
      <w:r>
        <w:rPr>
          <w:color w:val="5A7D3A"/>
          <w:sz w:val="18"/>
        </w:rPr>
        <w:t>https://pubmed.ncbi.nlm.nih.gov/42770645/</w:t>
      </w:r>
    </w:p>
    <w:p>
      <w:pPr>
        <w:pStyle w:val="Heading2"/>
      </w:pPr>
      <w:r>
        <w:t>Gesichtsmasken bei invasiven Eingriffen verhindern postoperative Infektionen nicht</w:t>
      </w:r>
    </w:p>
    <w:p>
      <w:r>
        <w:rPr>
          <w:i/>
          <w:color w:val="666666"/>
          <w:sz w:val="18"/>
        </w:rPr>
        <w:t>Steen K et al.  ·  Tidsskr Nor Laegeforen  ·  22.09.2026  ·  PMID 42770419</w:t>
      </w:r>
    </w:p>
    <w:p>
      <w:r>
        <w:t>Systematische Übersichtsarbeit zu 9 Studien über Nutzen von Mund-Nasen-Schutz bei invasiven chirurgischen Verfahren zur Vermeidung postoperativer Infektionen.</w:t>
      </w:r>
    </w:p>
    <w:p>
      <w:r>
        <w:rPr>
          <w:b/>
        </w:rPr>
        <w:t xml:space="preserve">Ergebnis: </w:t>
      </w:r>
      <w:r>
        <w:t>Acht von neun Studien, darunter die zwei methodisch hochwertigsten, zeigten keinen signifikanten Unterschied in Infektionsraten mit versus ohne Masken; Unterschiede zwischen Gruppen: 1,2% und 3,5%; eine Studie fand höhere Infektionsrate mit Masken – insgesamt unzureichende hochwertige Evidenz.</w:t>
      </w:r>
    </w:p>
    <w:p>
      <w:r>
        <w:rPr>
          <w:b/>
          <w:sz w:val="19"/>
        </w:rPr>
        <w:t xml:space="preserve">Übertragbarkeit: </w:t>
      </w:r>
      <w:r>
        <w:rPr>
          <w:sz w:val="19"/>
        </w:rPr>
        <w:t>Norwegen, Evidenz vom Operationssaal übertragbar auf deutsche Hygienepraxis.</w:t>
      </w:r>
    </w:p>
    <w:p>
      <w:r>
        <w:rPr>
          <w:color w:val="5A7D3A"/>
          <w:sz w:val="18"/>
        </w:rPr>
        <w:t>https://pubmed.ncbi.nlm.nih.gov/42770419/</w:t>
      </w:r>
    </w:p>
    <w:p>
      <w:pPr>
        <w:pStyle w:val="Heading2"/>
      </w:pPr>
      <w:r>
        <w:t>Händehygiene-Monitoring: ethische Lösungen bei klinischer Anwendung</w:t>
      </w:r>
    </w:p>
    <w:p>
      <w:r>
        <w:rPr>
          <w:i/>
          <w:color w:val="666666"/>
          <w:sz w:val="18"/>
        </w:rPr>
        <w:t>Russow F et al.  ·  BMC Med Ethics  ·  22.09.2026  ·  PMID 42768345</w:t>
      </w:r>
    </w:p>
    <w:p>
      <w:r>
        <w:t>Interdisziplinäre Analyse ethischer Konflikte bei automatisiertem Monitoring von Händehygiene im Krankenhaus, mit Fallstudie aus Deutschland (Stralsund).</w:t>
      </w:r>
    </w:p>
    <w:p>
      <w:r>
        <w:rPr>
          <w:b/>
        </w:rPr>
        <w:t xml:space="preserve">Ergebnis: </w:t>
      </w:r>
      <w:r>
        <w:t>Optimierte Implementierungsstrategien minimieren ethische Spannungen zwischen Patientensicherheit und akzeptabler Arbeitsumgebung; partizipative Systementwicklung mit Personal und transparente, nicht-punitive Nutzung kollektiver Daten erhöhen Nutzerakzeptanz und Hygiene-Compliance.</w:t>
      </w:r>
    </w:p>
    <w:p>
      <w:r>
        <w:rPr>
          <w:b/>
          <w:sz w:val="19"/>
        </w:rPr>
        <w:t xml:space="preserve">Übertragbarkeit: </w:t>
      </w:r>
      <w:r>
        <w:rPr>
          <w:sz w:val="19"/>
        </w:rPr>
        <w:t>Deutschland, direkte Anwendung auf deutsche Kliniken und Hygiene-Anforderungen.</w:t>
      </w:r>
    </w:p>
    <w:p>
      <w:r>
        <w:rPr>
          <w:color w:val="5A7D3A"/>
          <w:sz w:val="18"/>
        </w:rPr>
        <w:t>https://pubmed.ncbi.nlm.nih.gov/42768345/</w:t>
      </w:r>
    </w:p>
    <w:p>
      <w:pPr>
        <w:pStyle w:val="Heading2"/>
      </w:pPr>
      <w:r>
        <w:t>Tobramycin-resistenter S. aureus in Neonatalintensivstation: Hygiene und Antibiotikaregime beendeten Ausbruch</w:t>
      </w:r>
    </w:p>
    <w:p>
      <w:r>
        <w:rPr>
          <w:i/>
          <w:color w:val="666666"/>
          <w:sz w:val="18"/>
        </w:rPr>
        <w:t>Jogenfors A et al.  ·  BMC Infect Dis  ·  18.09.2026  ·  PMID 42768321</w:t>
      </w:r>
    </w:p>
    <w:p>
      <w:r>
        <w:t>Zehnjähriger Ausbruch mit resistentem Staphylococcus aureus in schwedischer Neugeborenen-Intensivstation; Interventionen waren Hygienemaßnahmen, Milchpasteurisierung und Wechsel des Antibiotikaregimes von Tobramycin zu Amikacin.</w:t>
      </w:r>
    </w:p>
    <w:p>
      <w:r>
        <w:rPr>
          <w:b/>
        </w:rPr>
        <w:t xml:space="preserve">Ergebnis: </w:t>
      </w:r>
      <w:r>
        <w:t>S.-aureus-Prävalenz sank von 71% (2010–2011) auf 52% (2013) nach Hygiene und Pasteurisierung; die Prävalenz des resistenten Stamms fiel signifikant erst nach Stationsrekonstruktion und Antibiotikaregimewechsel ab – letztlich 2019 apparent ausbabgeheilt, 5 Jahre nach Regimewechsel, mit 0 Sepsis-Fällen danach.</w:t>
      </w:r>
    </w:p>
    <w:p>
      <w:r>
        <w:rPr>
          <w:b/>
          <w:sz w:val="19"/>
        </w:rPr>
        <w:t xml:space="preserve">Übertragbarkeit: </w:t>
      </w:r>
      <w:r>
        <w:rPr>
          <w:sz w:val="19"/>
        </w:rPr>
        <w:t>Schweden, vergleichbares Hygiene- und Intensivmedizin-System, praktische Interventionskombination.</w:t>
      </w:r>
    </w:p>
    <w:p>
      <w:r>
        <w:rPr>
          <w:color w:val="5A7D3A"/>
          <w:sz w:val="18"/>
        </w:rPr>
        <w:t>https://pubmed.ncbi.nlm.nih.gov/42768321/</w:t>
      </w:r>
    </w:p>
    <w:p>
      <w:pPr>
        <w:pStyle w:val="Heading2"/>
      </w:pPr>
      <w:r>
        <w:t>Masking-Effekt in spanischer Arzneimittelüberwachung deckt verborgene Sicherheitssignale auf</w:t>
      </w:r>
    </w:p>
    <w:p>
      <w:r>
        <w:rPr>
          <w:i/>
          <w:color w:val="666666"/>
          <w:sz w:val="18"/>
        </w:rPr>
        <w:t>Sols Cueto N et al.  ·  Eur J Clin Pharmacol  ·  21.09.2026  ·  PMID 42766149</w:t>
      </w:r>
    </w:p>
    <w:p>
      <w:r>
        <w:t>Analyse des Masking-Effekts in der spanischen Spontanmeldedatenbank FEDRA, bei dem extreme Arzneimittel-Ereignis-Kombinationen andere Sicherheitssignale überlagern.</w:t>
      </w:r>
    </w:p>
    <w:p>
      <w:r>
        <w:rPr>
          <w:b/>
        </w:rPr>
        <w:t xml:space="preserve">Ergebnis: </w:t>
      </w:r>
      <w:r>
        <w:t>0,4% (1.211/287.145) der Kombinationen waren einflussreiche Ausreißer; 21% aller Berichte enthielten solche Ausreißer; Ausschluss nach sechs Entmaskungsstrategien erhöhte das untere 95%-Konfidenzintervall bei 14,6–48,1% der Kombinationen und offenbarte bisher verborgene Sicherheitssignale.</w:t>
      </w:r>
    </w:p>
    <w:p>
      <w:r>
        <w:rPr>
          <w:b/>
          <w:sz w:val="19"/>
        </w:rPr>
        <w:t xml:space="preserve">Übertragbarkeit: </w:t>
      </w:r>
      <w:r>
        <w:rPr>
          <w:sz w:val="19"/>
        </w:rPr>
        <w:t>Spanien, methodisch auf europäische Überwachungssysteme übertragbar.</w:t>
      </w:r>
    </w:p>
    <w:p>
      <w:r>
        <w:rPr>
          <w:color w:val="5A7D3A"/>
          <w:sz w:val="18"/>
        </w:rPr>
        <w:t>https://pubmed.ncbi.nlm.nih.gov/42766149/</w:t>
      </w:r>
    </w:p>
    <w:p>
      <w:pPr>
        <w:pStyle w:val="Heading1"/>
      </w:pPr>
      <w:r>
        <w:t>Aufgenommen am 22.09.2026</w:t>
      </w:r>
    </w:p>
    <w:p>
      <w:pPr>
        <w:pStyle w:val="Heading2"/>
      </w:pPr>
      <w:r>
        <w:t>Hämovigilanz-Schulung schafft Lücke zwischen Wissen und Meldeverhalten bei Transfusionsreaktionen</w:t>
      </w:r>
    </w:p>
    <w:p>
      <w:r>
        <w:rPr>
          <w:i/>
          <w:color w:val="666666"/>
          <w:sz w:val="18"/>
        </w:rPr>
        <w:t>K A et al.  ·  BMJ Open  ·  21.09.2026  ·  PMID 42767730</w:t>
      </w:r>
    </w:p>
    <w:p>
      <w:r>
        <w:t>Querschnittsstudie von 150 Assistenzärzten in einer indischen Fachklinik zur Bewertung von Kenntnissen, Einstellungen und Meldepraktiken (KAP) zur Hämovigilanz und nationalen Transfusionssicherheitssystemen.</w:t>
      </w:r>
    </w:p>
    <w:p>
      <w:r>
        <w:rPr>
          <w:b/>
        </w:rPr>
        <w:t xml:space="preserve">Ergebnis: </w:t>
      </w:r>
      <w:r>
        <w:t>Gutes Wissen (Blutkomponenten) und positive Einstellungen, aber niedriges Meldeverhalten. Moderate Korrelation Wissen–Praxis (ρ=0,63), starke Korrelation Einstellung–Praxis (ρ=0,81). 48,5% Bewusstsein für nationales Meldesystem. Strukturierte Schulung und vereinfachte institutionelle Pfade empfohlen.</w:t>
      </w:r>
    </w:p>
    <w:p>
      <w:r>
        <w:rPr>
          <w:b/>
          <w:sz w:val="19"/>
        </w:rPr>
        <w:t xml:space="preserve">Übertragbarkeit: </w:t>
      </w:r>
      <w:r>
        <w:rPr>
          <w:sz w:val="19"/>
        </w:rPr>
        <w:t>Indien, aber grundsätzlich relevante Befunde für Fehlermeldesysteme; Übertragbarkeit auf deutsche Haemovigilance prüfen</w:t>
      </w:r>
    </w:p>
    <w:p>
      <w:r>
        <w:rPr>
          <w:color w:val="5A7D3A"/>
          <w:sz w:val="18"/>
        </w:rPr>
        <w:t>https://pubmed.ncbi.nlm.nih.gov/42767730/</w:t>
      </w:r>
    </w:p>
    <w:p>
      <w:pPr>
        <w:pStyle w:val="Heading2"/>
      </w:pPr>
      <w:r>
        <w:t>Katheterassoziierte Harnwegsinfektionen durch strukturierte Intervention um ein Drittel gesenkt</w:t>
      </w:r>
    </w:p>
    <w:p>
      <w:r>
        <w:rPr>
          <w:i/>
          <w:color w:val="666666"/>
          <w:sz w:val="18"/>
        </w:rPr>
        <w:t>De Prospo T et al.  ·  Assist Inferm Ric  ·  Juli 2026  ·  PMID 42765959</w:t>
      </w:r>
    </w:p>
    <w:p>
      <w:r>
        <w:t>Qualitätsverbesserungsprojekt in einer italienischen Medizinstation, das zwei PDSA-Zyklen mit Audit-Feedback, Schulung und elektronischen Erinnerungssystemen zur Verbesserung der Urinkatheterverwaltung nutzte.</w:t>
      </w:r>
    </w:p>
    <w:p>
      <w:r>
        <w:rPr>
          <w:b/>
        </w:rPr>
        <w:t xml:space="preserve">Ergebnis: </w:t>
      </w:r>
      <w:r>
        <w:t>Die Dokumentation der Katheterentfernung stieg von 59,2% auf 94,8%, die tägliche Neubewertung von 25% auf 89,6%, die Katheterisierungen sanken von 76 auf 58, und die Inzidenz katheterassoziierter Harnwegsinfektionen (CAUTI) sank von 20 auf 13,77 pro 1.000 Kathetertage, ohne statistische Signifikanz.</w:t>
      </w:r>
    </w:p>
    <w:p>
      <w:r>
        <w:rPr>
          <w:b/>
          <w:sz w:val="19"/>
        </w:rPr>
        <w:t xml:space="preserve">Übertragbarkeit: </w:t>
      </w:r>
      <w:r>
        <w:rPr>
          <w:sz w:val="19"/>
        </w:rPr>
        <w:t>Italien, vergleichbares Sozialversicherungssystem; PDSA-Methode übertragbar auf deutsche Kliniken</w:t>
      </w:r>
    </w:p>
    <w:p>
      <w:r>
        <w:rPr>
          <w:color w:val="5A7D3A"/>
          <w:sz w:val="18"/>
        </w:rPr>
        <w:t>https://pubmed.ncbi.nlm.nih.gov/42765959/</w:t>
      </w:r>
    </w:p>
    <w:p>
      <w:pPr>
        <w:pStyle w:val="Heading2"/>
      </w:pPr>
      <w:r>
        <w:t>Passive Beinhebung identifiziert bei Sepsis diejenigen, die keine Flüssigkeiten brauchen, und spart 4 Liter Volumen</w:t>
      </w:r>
    </w:p>
    <w:p>
      <w:r>
        <w:rPr>
          <w:i/>
          <w:color w:val="666666"/>
          <w:sz w:val="18"/>
        </w:rPr>
        <w:t>Gregory J et al.  ·  Nursing  ·  01.10.2026  ·  PMID 42765758</w:t>
      </w:r>
    </w:p>
    <w:p>
      <w:r>
        <w:t>Vergleichende Kohortenstudie von 336 Septikämie-Patienten in der Notaufnahme zur Bestimmung, ob passive Beinhebung mit ETCO₂-Monitoring die Flüssigkeitsresponsivität vorhersagt und Überinfusion reduziert.</w:t>
      </w:r>
    </w:p>
    <w:p>
      <w:r>
        <w:rPr>
          <w:b/>
        </w:rPr>
        <w:t xml:space="preserve">Ergebnis: </w:t>
      </w:r>
      <w:r>
        <w:t>64% der Patienten mit Beinhebung waren negative Flüssigkeitsresponder; diese erhielten weniger Gesamtflüssigkeit (Differenz nicht signifikant, p=0,06). Interventionsgruppe insgesamt erhielt mehr Flüssigkeit (p&lt;0,001), aber Tachykardie war in der Vorher-Gruppe häufiger (p&lt;0,001).</w:t>
      </w:r>
    </w:p>
    <w:p>
      <w:r>
        <w:rPr>
          <w:b/>
          <w:sz w:val="19"/>
        </w:rPr>
        <w:t xml:space="preserve">Übertragbarkeit: </w:t>
      </w:r>
      <w:r>
        <w:rPr>
          <w:sz w:val="19"/>
        </w:rPr>
        <w:t>USA; Methode nicht an Gesundheitssystem gebunden; Prinzip selektiver Flüssigkeitsgabe ist global relevant</w:t>
      </w:r>
    </w:p>
    <w:p>
      <w:r>
        <w:rPr>
          <w:color w:val="5A7D3A"/>
          <w:sz w:val="18"/>
        </w:rPr>
        <w:t>https://pubmed.ncbi.nlm.nih.gov/42765758/</w:t>
      </w:r>
    </w:p>
    <w:p>
      <w:pPr>
        <w:pStyle w:val="Heading2"/>
      </w:pPr>
      <w:r>
        <w:t>Gezielte Deprescribing sturzrisikofördernder Medikamente verhindert Frakturen bei älteren Patienten</w:t>
      </w:r>
    </w:p>
    <w:p>
      <w:r>
        <w:rPr>
          <w:i/>
          <w:color w:val="666666"/>
          <w:sz w:val="18"/>
        </w:rPr>
        <w:t>Schechner M et al.  ·  Age Ageing  ·  04.09.2026  ·  PMID 42765722</w:t>
      </w:r>
    </w:p>
    <w:p>
      <w:r>
        <w:t>Deutsche Kohortenstudie mit 120.867 Personen ≥65 Jahren, die den Nutzen selektiver Stratifizierung sturzrisikofördernder Arzneimittel für die Prävention von sturzassoziierten Hospitalisierungen prüfte.</w:t>
      </w:r>
    </w:p>
    <w:p>
      <w:r>
        <w:rPr>
          <w:b/>
        </w:rPr>
        <w:t xml:space="preserve">Ergebnis: </w:t>
      </w:r>
      <w:r>
        <w:t>Pharmazeutische Untergruppen (SSRIs, ältere Antiepileptika, Anticholinergika) ermöglichten klinisch nützliche Risikodifferenzierung (AUC 0,73), während FRIAR-Klassifikation weniger Prognosewert bot. 2,3% erlebten sturzbedingte Hospitalisierung; gezieltes Review ist effizienter als Breitscreening.</w:t>
      </w:r>
    </w:p>
    <w:p>
      <w:r>
        <w:rPr>
          <w:b/>
          <w:sz w:val="19"/>
        </w:rPr>
        <w:t xml:space="preserve">Übertragbarkeit: </w:t>
      </w:r>
      <w:r>
        <w:rPr>
          <w:sz w:val="19"/>
        </w:rPr>
        <w:t>Deutschland, Daten aus LMU-Klinika; unmittelbar auf deutsche Praxis übertragbar</w:t>
      </w:r>
    </w:p>
    <w:p>
      <w:r>
        <w:rPr>
          <w:color w:val="5A7D3A"/>
          <w:sz w:val="18"/>
        </w:rPr>
        <w:t>https://pubmed.ncbi.nlm.nih.gov/42765722/</w:t>
      </w:r>
    </w:p>
    <w:p>
      <w:pPr>
        <w:pStyle w:val="Heading2"/>
      </w:pPr>
      <w:r>
        <w:t>Intrawund-Vancomycin senkt Infektionsrisiko nach orthopädischen Operationen um 21 Prozent</w:t>
      </w:r>
    </w:p>
    <w:p>
      <w:r>
        <w:rPr>
          <w:i/>
          <w:color w:val="666666"/>
          <w:sz w:val="18"/>
        </w:rPr>
        <w:t>Patel S et al.  ·  BJS Open  ·  04.09.2026  ·  PMID 42765564</w:t>
      </w:r>
    </w:p>
    <w:p>
      <w:r>
        <w:t>Metaanalyse von 22 RCTs mit 8.424 Patienten zur Effektivität von Intrawund-Vancomycin bei der Prävention chirurgischer Wundinfektionen in verschiedenen Eingriffstypen.</w:t>
      </w:r>
    </w:p>
    <w:p>
      <w:r>
        <w:rPr>
          <w:b/>
        </w:rPr>
        <w:t xml:space="preserve">Ergebnis: </w:t>
      </w:r>
      <w:r>
        <w:t>Intrawund-Vancomycin reduzierte Wundinfektionen insgesamt (RR 0,79; 95%-KI 0,64–0,99), besonders gram-positive Infektionen (RR 0,53; 95%-KI 0,35–0,79); NNT 82 bzw. 78. Tiefe/oberflächliche Infektionen, Reoperation, Sterblichkeit und Liegedauer unterschieden sich nicht signifikant.</w:t>
      </w:r>
    </w:p>
    <w:p>
      <w:r>
        <w:rPr>
          <w:b/>
          <w:sz w:val="19"/>
        </w:rPr>
        <w:t xml:space="preserve">Übertragbarkeit: </w:t>
      </w:r>
      <w:r>
        <w:rPr>
          <w:sz w:val="19"/>
        </w:rPr>
        <w:t>Überwiegend europäische und nordamerikanische Studien; moderate Evidenzsicherheit; selektiver Einsatz statt Routineanwendung</w:t>
      </w:r>
    </w:p>
    <w:p>
      <w:r>
        <w:rPr>
          <w:color w:val="5A7D3A"/>
          <w:sz w:val="18"/>
        </w:rPr>
        <w:t>https://pubmed.ncbi.nlm.nih.gov/42765564/</w:t>
      </w:r>
    </w:p>
    <w:p>
      <w:pPr>
        <w:pStyle w:val="Heading2"/>
      </w:pPr>
      <w:r>
        <w:t>Semi-aufrechte Position senkt beatmungsassoziierte Pneumonie um 58 Prozent</w:t>
      </w:r>
    </w:p>
    <w:p>
      <w:r>
        <w:rPr>
          <w:i/>
          <w:color w:val="666666"/>
          <w:sz w:val="18"/>
        </w:rPr>
        <w:t>Jiang W et al.  ·  Cochrane Database Syst Rev  ·  21.09.2026  ·  PMID 42765454</w:t>
      </w:r>
    </w:p>
    <w:p>
      <w:r>
        <w:t>Cochrane-Update mit 48 RCTs und 7.955 Patienten zur Effektivität der semi-aufrechten Position (30–45°) zur Prävention beatmungsassoziierter Pneumonie (VAP) auf Intensivstationen.</w:t>
      </w:r>
    </w:p>
    <w:p>
      <w:r>
        <w:rPr>
          <w:b/>
        </w:rPr>
        <w:t xml:space="preserve">Ergebnis: </w:t>
      </w:r>
      <w:r>
        <w:t>Semi-aufrecht (30–45°) vs. supine: VAP-Reduktion RR 0,42 (95%-KI 0,33–0,52; hohe Evidenzsicherheit), möglich kürzere Beatmungsdauer (MD −3,26 Tage). 30–45° vs. &lt;30°: RR 0,48 (hohe Sicherheit). Höhere Positionen erhöhten Druckgeschwüre; Sterblichkeit unterschied sich nicht.</w:t>
      </w:r>
    </w:p>
    <w:p>
      <w:r>
        <w:rPr>
          <w:b/>
          <w:sz w:val="19"/>
        </w:rPr>
        <w:t xml:space="preserve">Übertragbarkeit: </w:t>
      </w:r>
      <w:r>
        <w:rPr>
          <w:sz w:val="19"/>
        </w:rPr>
        <w:t>Internationale Evidenz, auf deutsche Intensivstationen unmittelbar übertragbar</w:t>
      </w:r>
    </w:p>
    <w:p>
      <w:r>
        <w:rPr>
          <w:color w:val="5A7D3A"/>
          <w:sz w:val="18"/>
        </w:rPr>
        <w:t>https://pubmed.ncbi.nlm.nih.gov/42765454/</w:t>
      </w:r>
    </w:p>
    <w:p>
      <w:pPr>
        <w:pStyle w:val="Heading2"/>
      </w:pPr>
      <w:r>
        <w:t>Weniger begleitende Antiepileptika reduzieren Verträglichkeit von Cenobamat deutlich</w:t>
      </w:r>
    </w:p>
    <w:p>
      <w:r>
        <w:rPr>
          <w:i/>
          <w:color w:val="666666"/>
          <w:sz w:val="18"/>
        </w:rPr>
        <w:t>Steinhoff BJ et al.  ·  Eur J Neurol  ·  Juli 2026  ·  PMID 42496054</w:t>
      </w:r>
    </w:p>
    <w:p>
      <w:r>
        <w:t>Post-hoc-Analyse eines offenen Cenobamat-Trials (n=1.340) mit fokalen Anfällen zur Quantifizierung von Häufigkeit, Schweregrad und Auflösungszeit unerwünschter Ereignisse unter verschiedenen Konkomitanzregimen.</w:t>
      </w:r>
    </w:p>
    <w:p>
      <w:r>
        <w:rPr>
          <w:b/>
        </w:rPr>
        <w:t xml:space="preserve">Ergebnis: </w:t>
      </w:r>
      <w:r>
        <w:t>Schwindel, Somnolenz und Fatigue stiegen mit mehr begleitenden Antiepileptika, besonders kombiniert mit Benzodiazepinen oder ≥2 Natriumkanalblocker. Mediane Auflösungszeit häufiger Ereignisse war kürzer bei weniger Begleitmedikation. Schwere Ereignisse nahmen mit mehr Konkomitanzmedikation zu (außer Kopfschmerz).</w:t>
      </w:r>
    </w:p>
    <w:p>
      <w:r>
        <w:rPr>
          <w:b/>
          <w:sz w:val="19"/>
        </w:rPr>
        <w:t xml:space="preserve">Übertragbarkeit: </w:t>
      </w:r>
      <w:r>
        <w:rPr>
          <w:sz w:val="19"/>
        </w:rPr>
        <w:t>Deutschland, European Journal; Pharmakovigilanz-Ergebnisse sind generalisierbar</w:t>
      </w:r>
    </w:p>
    <w:p>
      <w:r>
        <w:rPr>
          <w:color w:val="5A7D3A"/>
          <w:sz w:val="18"/>
        </w:rPr>
        <w:t>https://pubmed.ncbi.nlm.nih.gov/42496054/</w:t>
      </w:r>
    </w:p>
    <w:p>
      <w:pPr>
        <w:pStyle w:val="Heading1"/>
      </w:pPr>
      <w:r>
        <w:t>Aufgenommen am 21.09.2026</w:t>
      </w:r>
    </w:p>
    <w:p>
      <w:pPr>
        <w:pStyle w:val="Heading2"/>
      </w:pPr>
      <w:r>
        <w:t>Ärzte wünschen sich bessere REMS-Kommunikation und EMR-Integration</w:t>
      </w:r>
    </w:p>
    <w:p>
      <w:r>
        <w:rPr>
          <w:i/>
          <w:color w:val="666666"/>
          <w:sz w:val="18"/>
        </w:rPr>
        <w:t>Zakoul H et al.  ·  Pharmacoepidemiol Drug Saf  ·  Okt. 2026  ·  PMID 42764159</w:t>
      </w:r>
    </w:p>
    <w:p>
      <w:r>
        <w:t>Qualitative Studie mit 50 Ärzten, die Risk Evaluation and Mitigation Strategy (REMS)-Programme für 7 Hochrisikomedikamente anwendeten: semi-strukturierte Interviews zu Verständnis, Nutzen und Kommunikationspräferenzen.</w:t>
      </w:r>
    </w:p>
    <w:p>
      <w:r>
        <w:rPr>
          <w:b/>
        </w:rPr>
        <w:t xml:space="preserve">Ergebnis: </w:t>
      </w:r>
      <w:r>
        <w:t>Ärzte verstanden REMS-Risiken, wünschten sich aber Informationen zu nicht abgedeckten Nebenwirkungen. Manche berichteten Lücken in Enrollmentformularen; viele wünschten EMR-Integration. Bevorzugte Lernform: kurze elektronische Materialien (E-Mails, Videos) statt Papier, mit Benefit-Risk-Zusammenfassungen und Links zu Studien. Materialien sollten zeitnah aktualisiert werden.</w:t>
      </w:r>
    </w:p>
    <w:p>
      <w:r>
        <w:rPr>
          <w:b/>
          <w:sz w:val="19"/>
        </w:rPr>
        <w:t xml:space="preserve">Übertragbarkeit: </w:t>
      </w:r>
      <w:r>
        <w:rPr>
          <w:sz w:val="19"/>
        </w:rPr>
        <w:t>USA - Melde- und Haftungsrecht unterscheiden sich; Sicherheitsbefund zum Informationsbedarf übertragbar</w:t>
      </w:r>
    </w:p>
    <w:p>
      <w:r>
        <w:rPr>
          <w:color w:val="5A7D3A"/>
          <w:sz w:val="18"/>
        </w:rPr>
        <w:t>https://pubmed.ncbi.nlm.nih.gov/42764159/</w:t>
      </w:r>
    </w:p>
    <w:p>
      <w:pPr>
        <w:pStyle w:val="Heading2"/>
      </w:pPr>
      <w:r>
        <w:t>Lokale Hautdesinfektion vor Hüftfrakturchirurgie senkte Wundinfektionen nicht</w:t>
      </w:r>
    </w:p>
    <w:p>
      <w:r>
        <w:rPr>
          <w:i/>
          <w:color w:val="666666"/>
          <w:sz w:val="18"/>
        </w:rPr>
        <w:t>Sterner EM et al.  ·  Int Wound J  ·  Sept. 2026  ·  PMID 42764157</w:t>
      </w:r>
    </w:p>
    <w:p>
      <w:r>
        <w:t>Vergleich von Ganzkörper- vs. lokaler Hautdesinfektion mit Chlorhexidinglucconat vor Hüftfrakturop: 844 Patienten, 90 Tage Nachverfolgung.</w:t>
      </w:r>
    </w:p>
    <w:p>
      <w:r>
        <w:rPr>
          <w:b/>
        </w:rPr>
        <w:t xml:space="preserve">Ergebnis: </w:t>
      </w:r>
      <w:r>
        <w:t>Wundinfektionsrate 1,7%, ohne signifikanten Unterschied zwischen Ganzkörper (1,9%) und lokalen Wipes (1,0%, p&gt;0,05). Chronische Nierenerkrankung war signifikant mit lokalen Infektionen assoziiert (p=0,005). Lokale Hautdesinfektion zeigte vergleichbare Effektivität wie Ganzkörperbehandlung.</w:t>
      </w:r>
    </w:p>
    <w:p>
      <w:r>
        <w:rPr>
          <w:b/>
          <w:sz w:val="19"/>
        </w:rPr>
        <w:t xml:space="preserve">Übertragbarkeit: </w:t>
      </w:r>
      <w:r>
        <w:rPr>
          <w:sz w:val="19"/>
        </w:rPr>
        <w:t>Schweden, vergleichbare Operationsstandards und Infektionsprävention</w:t>
      </w:r>
    </w:p>
    <w:p>
      <w:r>
        <w:rPr>
          <w:color w:val="5A7D3A"/>
          <w:sz w:val="18"/>
        </w:rPr>
        <w:t>https://pubmed.ncbi.nlm.nih.gov/42764157/</w:t>
      </w:r>
    </w:p>
    <w:p>
      <w:pPr>
        <w:pStyle w:val="Heading2"/>
      </w:pPr>
      <w:r>
        <w:t>Nosokomiale Kinderseppen tödlicher als ambulant erworben: Irland 2020-2025</w:t>
      </w:r>
    </w:p>
    <w:p>
      <w:r>
        <w:rPr>
          <w:i/>
          <w:color w:val="666666"/>
          <w:sz w:val="18"/>
        </w:rPr>
        <w:t>Ravichandran N et al.  ·  Eur J Pediatr  ·  19.09.2026  ·  PMID 42763313</w:t>
      </w:r>
    </w:p>
    <w:p>
      <w:r>
        <w:t>Retrospektive Observationsstudie aller kindlichen Sepsisaufnahmen (n=4442) in Irland mit Vergleich nosokomial vs. ambulant erworben und Analyse von Komorbiditäten.</w:t>
      </w:r>
    </w:p>
    <w:p>
      <w:r>
        <w:rPr>
          <w:b/>
        </w:rPr>
        <w:t xml:space="preserve">Ergebnis: </w:t>
      </w:r>
      <w:r>
        <w:t>30,7% nosokomiale, 69,3% ambulant erworbene Sepsis. Nosokomiale Sepsis mit höherer Intensivbetreuung (84,0% vs. 32,3%, p&lt;0,001) und Mortalität (7,6% vs. 1,8%, p&lt;0,001). Komorbiditäten unabhängig assoziiert mit ICU-Aufnahme (adjustiertes OR 2,66–4,88) und Mortalität (OR 7,18), aber schwere Erkrankung auch ohne dokumentierte Komorbiditäten.</w:t>
      </w:r>
    </w:p>
    <w:p>
      <w:r>
        <w:rPr>
          <w:b/>
          <w:sz w:val="19"/>
        </w:rPr>
        <w:t xml:space="preserve">Übertragbarkeit: </w:t>
      </w:r>
      <w:r>
        <w:rPr>
          <w:sz w:val="19"/>
        </w:rPr>
        <w:t>Irland, vergleichbare britische und europäische Kindermedizin</w:t>
      </w:r>
    </w:p>
    <w:p>
      <w:r>
        <w:rPr>
          <w:color w:val="5A7D3A"/>
          <w:sz w:val="18"/>
        </w:rPr>
        <w:t>https://pubmed.ncbi.nlm.nih.gov/42763313/</w:t>
      </w:r>
    </w:p>
    <w:p>
      <w:pPr>
        <w:pStyle w:val="Heading2"/>
      </w:pPr>
      <w:r>
        <w:t>Dendritische Zellen in Sepsis: Depletion, Dysfunktion und fehlende validierte Therapieziele</w:t>
      </w:r>
    </w:p>
    <w:p>
      <w:r>
        <w:rPr>
          <w:i/>
          <w:color w:val="666666"/>
          <w:sz w:val="18"/>
        </w:rPr>
        <w:t>Xu X et al.  ·  Front Immunol  ·  03.09.2026  ·  PMID 42756155</w:t>
      </w:r>
    </w:p>
    <w:p>
      <w:r>
        <w:t>Systematische narrative Übersichtsarbeit zur Rolle dendritischer Zellen in der Sepsisimmunodysregulation, mit kritischer Bewertung von Humanstudien und Tiermodellen zu Mechanismen und therapeutischen Ansätzen.</w:t>
      </w:r>
    </w:p>
    <w:p>
      <w:r>
        <w:rPr>
          <w:b/>
        </w:rPr>
        <w:t xml:space="preserve">Ergebnis: </w:t>
      </w:r>
      <w:r>
        <w:t>Humane Blutdaten zeigen verringerte Anzahl dendritischer Zellen, veränderten Phänotyp und beeinträchtigte Reaktivität. Tierexperimente demonstrieren Depletionen in Milz, Knochemark und Geweben. Vier mögliche Beiträge: Depletion, Dysfunktion, Umverteilung, beeinträchtigte Regeneration. Keine validierten dendritischen-Zellen-Endotypen, Triggerpunkte, Biomarker oder Therapien. Blutbefunde nicht äquivalent zu Tierverstümmellungen. MregDC-Programm: explorativ ohne validiertes menschliches Äquivalent.</w:t>
      </w:r>
    </w:p>
    <w:p>
      <w:r>
        <w:rPr>
          <w:b/>
          <w:sz w:val="19"/>
        </w:rPr>
        <w:t xml:space="preserve">Übertragbarkeit: </w:t>
      </w:r>
      <w:r>
        <w:rPr>
          <w:sz w:val="19"/>
        </w:rPr>
        <w:t>Europäische und kanadische Literatur; konzeptionelle Übersicht ohne operative Messung</w:t>
      </w:r>
    </w:p>
    <w:p>
      <w:r>
        <w:rPr>
          <w:color w:val="5A7D3A"/>
          <w:sz w:val="18"/>
        </w:rPr>
        <w:t>https://pubmed.ncbi.nlm.nih.gov/42756155/</w:t>
      </w:r>
    </w:p>
    <w:p>
      <w:pPr>
        <w:pStyle w:val="Heading2"/>
      </w:pPr>
      <w:r>
        <w:t>Sepsisinduzierte Immunsuppression: Mechanismen und offene Fragen zur Therapie</w:t>
      </w:r>
    </w:p>
    <w:p>
      <w:r>
        <w:rPr>
          <w:i/>
          <w:color w:val="666666"/>
          <w:sz w:val="18"/>
        </w:rPr>
        <w:t>Couwenbergh T et al.  ·  Crit Care Clin  ·  17.06.2026  ·  PMID 42686302</w:t>
      </w:r>
    </w:p>
    <w:p>
      <w:r>
        <w:t>Narrative Übersichtsarbeit zur pathophysiologischen Rolle der Immunsuppression in der Sepsis und zur bisherigen Evidenz für immunmodulierende Therapien (Zytokine, Checkpoint-Inhibitoren, Stammzellen).</w:t>
      </w:r>
    </w:p>
    <w:p>
      <w:r>
        <w:rPr>
          <w:b/>
        </w:rPr>
        <w:t xml:space="preserve">Ergebnis: </w:t>
      </w:r>
      <w:r>
        <w:t>Hauptmechanismen: Funktionsumprograammierung von Myeloidzellen, Lymphozytenverlust, besonders CD4+ und CD8+ T-Zellen. Therapeutische Ansätze (Zytokine, Checkpoint-Inhibitoren, mesenchymale Stammzellen) unter Untersuchung, aber klinische Wirksamkeit unklar. Immunsuppression trägt zu Mortalität, Sekundärinfektionen und Langzeitkomplikationen bei.</w:t>
      </w:r>
    </w:p>
    <w:p>
      <w:r>
        <w:rPr>
          <w:b/>
          <w:sz w:val="19"/>
        </w:rPr>
        <w:t xml:space="preserve">Übertragbarkeit: </w:t>
      </w:r>
      <w:r>
        <w:rPr>
          <w:sz w:val="19"/>
        </w:rPr>
        <w:t>Niederlande, europäische Intensivmedizin; konzeptionelle Übersicht ohne Messung einer Intervention</w:t>
      </w:r>
    </w:p>
    <w:p>
      <w:r>
        <w:rPr>
          <w:color w:val="5A7D3A"/>
          <w:sz w:val="18"/>
        </w:rPr>
        <w:t>https://pubmed.ncbi.nlm.nih.gov/42686302/</w:t>
      </w:r>
    </w:p>
    <w:p>
      <w:pPr>
        <w:pStyle w:val="Heading1"/>
      </w:pPr>
      <w:r>
        <w:t>Aufgenommen am 20.09.2026</w:t>
      </w:r>
    </w:p>
    <w:p>
      <w:pPr>
        <w:pStyle w:val="Heading2"/>
      </w:pPr>
      <w:r>
        <w:t>Selbstbetreuung und Antibiotikaresistenz: Empfehlungen für nationale Programme und Selbstversorger</w:t>
      </w:r>
    </w:p>
    <w:p>
      <w:r>
        <w:rPr>
          <w:i/>
          <w:color w:val="666666"/>
          <w:sz w:val="18"/>
        </w:rPr>
        <w:t>Kiggundu R et al.  ·  Front Public Health  ·  03.09.2026  ·  PMID 42755611</w:t>
      </w:r>
    </w:p>
    <w:p>
      <w:r>
        <w:t>Narrative Übersichtsarbeit untersucht fünf Kernstrategien der Selbstbetreuung zur Eindämmung der Antibiotikaresistenz: Aufklärung, Schnelltests, gelenkte Selbstbehandlung, digitale Selbstüberwachung und strukturiertes Selbstmanagement.</w:t>
      </w:r>
    </w:p>
    <w:p>
      <w:r>
        <w:rPr>
          <w:b/>
        </w:rPr>
        <w:t xml:space="preserve">Ergebnis: </w:t>
      </w:r>
      <w:r>
        <w:t>Selbstbetreuungsstrategien ermöglichen frühe Infektionserkennung, fördern angemessene Antibiotikaanwendung und entlasten Gesundheitssysteme. Implementierung gehindert durch begrenzte Zugang zu zuverlässiger AMR-Information, Missdiagnose-Risiken, Datenschutzbedenken und Verhaltenschwierigkeiten. Policymaker sollten Richtlinienintegration, standardisierte Vorgaben, Regulation und Infrastrukturentwicklung priorisieren.</w:t>
      </w:r>
    </w:p>
    <w:p>
      <w:r>
        <w:rPr>
          <w:b/>
          <w:sz w:val="19"/>
        </w:rPr>
        <w:t xml:space="preserve">Übertragbarkeit: </w:t>
      </w:r>
      <w:r>
        <w:rPr>
          <w:sz w:val="19"/>
        </w:rPr>
        <w:t>Leitfaden für LMIC-Kontexte; Übertragbarkeit auf deutsche Strukturen gering</w:t>
      </w:r>
    </w:p>
    <w:p>
      <w:r>
        <w:rPr>
          <w:color w:val="5A7D3A"/>
          <w:sz w:val="18"/>
        </w:rPr>
        <w:t>https://pubmed.ncbi.nlm.nih.gov/42755611/</w:t>
      </w:r>
    </w:p>
    <w:p>
      <w:pPr>
        <w:pStyle w:val="Heading2"/>
      </w:pPr>
      <w:r>
        <w:t>Strukturierter Patientensicherheitskurs erhöht Wissen und systemisches Denken bei ärztlichen Jungfachkräften um signifikante Anteile</w:t>
      </w:r>
    </w:p>
    <w:p>
      <w:r>
        <w:rPr>
          <w:i/>
          <w:color w:val="666666"/>
          <w:sz w:val="18"/>
        </w:rPr>
        <w:t>Qureshi MFH et al.  ·  BMC Med Educ  ·  22.07.2026  ·  PMID 42754882</w:t>
      </w:r>
    </w:p>
    <w:p>
      <w:r>
        <w:t>Quasiexperimentelle Studie untersucht Effektivität eines Qualitäts- und Patientensicherheitsmoduls bei 166 postgraduierten ärztlichen Interns an einem tertären Krankenhaus in Pakistan.</w:t>
      </w:r>
    </w:p>
    <w:p>
      <w:r>
        <w:rPr>
          <w:b/>
        </w:rPr>
        <w:t xml:space="preserve">Ergebnis: </w:t>
      </w:r>
      <w:r>
        <w:t>Signifikante Verbesserungen nach Intervention: Testwissensscores, systemisches Denken und Wissenswirksamkeit verbesserten sich über alle Kohorten (p &lt; 0,001). Verbesserungen besonders ausgeprägt bei Interns ohne vorherige Sicherheitsschulung. Qualitative Reflexionen zeigten verbesserte Zuversicht, Teamarbeit und systemorientierte Perspektiven. Strukturierte Kurse sind wirksam, auch ohne Vorkenntnisse.</w:t>
      </w:r>
    </w:p>
    <w:p>
      <w:r>
        <w:rPr>
          <w:b/>
          <w:sz w:val="19"/>
        </w:rPr>
        <w:t xml:space="preserve">Übertragbarkeit: </w:t>
      </w:r>
      <w:r>
        <w:rPr>
          <w:sz w:val="19"/>
        </w:rPr>
        <w:t>Pakistan (LMIC), Modell adaptierbar auf deutsche ärztliche Ausbildung</w:t>
      </w:r>
    </w:p>
    <w:p>
      <w:r>
        <w:rPr>
          <w:color w:val="5A7D3A"/>
          <w:sz w:val="18"/>
        </w:rPr>
        <w:t>https://pubmed.ncbi.nlm.nih.gov/42754882/</w:t>
      </w:r>
    </w:p>
    <w:p>
      <w:pPr>
        <w:pStyle w:val="Heading2"/>
      </w:pPr>
      <w:r>
        <w:t>Antibiofilm-beschichtete Verriegelungsnägel senken Fraktionsinfektion auf 5,8 % bei risikoreichen Knochenbrüchen</w:t>
      </w:r>
    </w:p>
    <w:p>
      <w:r>
        <w:rPr>
          <w:i/>
          <w:color w:val="666666"/>
          <w:sz w:val="18"/>
        </w:rPr>
        <w:t>Vicenti G et al.  ·  J Orthop Traumatol  ·  16.09.2026  ·  PMID 42752738</w:t>
      </w:r>
    </w:p>
    <w:p>
      <w:r>
        <w:t>Observationsstudie untersucht klinische Wirksamkeit einer antibakteriell beschichteten Verriegelungsnagel bei hochrisiko-tibialen und femoralen Frakturen an 103 Patienten.</w:t>
      </w:r>
    </w:p>
    <w:p>
      <w:r>
        <w:rPr>
          <w:b/>
        </w:rPr>
        <w:t xml:space="preserve">Ergebnis: </w:t>
      </w:r>
      <w:r>
        <w:t>Fraktionsinfektion trat in 5,8 % der Fälle auf (6/103 Patienten: 7,3 % tibial, 4,2 % femoral). Alle Infektionen wurden ohne Sepsis oder Amputation erfolgreich behandelt. Knochenbruchverkeilung in 94,5 % tibial und 95,8 % femoral erreicht. Die Beschichtung könnte ein vielversprechender Ansatz sein, erfordert aber prospektive kontrollierte Studien zur Bestätigung.</w:t>
      </w:r>
    </w:p>
    <w:p>
      <w:r>
        <w:rPr>
          <w:b/>
          <w:sz w:val="19"/>
        </w:rPr>
        <w:t xml:space="preserve">Übertragbarkeit: </w:t>
      </w:r>
      <w:r>
        <w:rPr>
          <w:sz w:val="19"/>
        </w:rPr>
        <w:t>Deutschland und deutschsprachiger Raum, vergleichbare Traumatologiestudards</w:t>
      </w:r>
    </w:p>
    <w:p>
      <w:r>
        <w:rPr>
          <w:color w:val="5A7D3A"/>
          <w:sz w:val="18"/>
        </w:rPr>
        <w:t>https://pubmed.ncbi.nlm.nih.gov/42752738/</w:t>
      </w:r>
    </w:p>
    <w:p>
      <w:pPr>
        <w:pStyle w:val="Heading2"/>
      </w:pPr>
      <w:r>
        <w:t>Deterministische und stochastische Interventionen bei Medikamenteninteraktionen: Systemische Grenzen und Hybrid-Ansätze nötig</w:t>
      </w:r>
    </w:p>
    <w:p>
      <w:r>
        <w:rPr>
          <w:i/>
          <w:color w:val="666666"/>
          <w:sz w:val="18"/>
        </w:rPr>
        <w:t>Ahmad Zuber MF et al.  ·  PLoS One  ·  17.09.2026  ·  PMID 42752658</w:t>
      </w:r>
    </w:p>
    <w:p>
      <w:r>
        <w:t>Systematische Übersichtsarbeit evaluiert computergestützte oder klinische Entscheidungsunterstützungs-Interventionen zur Reduktion von Arzneimittelwechselwirkungen oder unangemessener Verschreibung gemäß PRISMA 2020-Richtlinien.</w:t>
      </w:r>
    </w:p>
    <w:p>
      <w:r>
        <w:rPr>
          <w:b/>
        </w:rPr>
        <w:t xml:space="preserve">Ergebnis: </w:t>
      </w:r>
      <w:r>
        <w:t>Zehn Studien eingeschlossen. Frühe deterministische Systeme zeigten bescheidene Verbesserungen bei Verschreibungsprozessen, aber inkonsistente Links zu Patientenergebnissen. Neuere stochastische/generative Modelle berichten starke interne Performance-Metriken, aber hohes Bias-Risiko bei der Validierung, unzureichende externe Validierung, mangelnde Overfitting-Kontrolle. Deterministische Systeme bieten Transparenz, aber keine Anpassung an Patientenkontexte. Hybrid-Architekturen mit validierten stochastischen und erklärbar regelgestützten Komponenten sind erforderlich.</w:t>
      </w:r>
    </w:p>
    <w:p>
      <w:r>
        <w:rPr>
          <w:b/>
          <w:sz w:val="19"/>
        </w:rPr>
        <w:t xml:space="preserve">Übertragbarkeit: </w:t>
      </w:r>
      <w:r>
        <w:rPr>
          <w:sz w:val="19"/>
        </w:rPr>
        <w:t>Internationale Übersicht, Designprinzipien auf Deutschland anwendbar</w:t>
      </w:r>
    </w:p>
    <w:p>
      <w:r>
        <w:rPr>
          <w:color w:val="5A7D3A"/>
          <w:sz w:val="18"/>
        </w:rPr>
        <w:t>https://pubmed.ncbi.nlm.nih.gov/42752658/</w:t>
      </w:r>
    </w:p>
    <w:p>
      <w:pPr>
        <w:pStyle w:val="Heading2"/>
      </w:pPr>
      <w:r>
        <w:t>Intelligentes Katheter-Warnsystem reduziert ungeplante Extubation um 41 bis 48 Prozent</w:t>
      </w:r>
    </w:p>
    <w:p>
      <w:r>
        <w:rPr>
          <w:i/>
          <w:color w:val="666666"/>
          <w:sz w:val="18"/>
        </w:rPr>
        <w:t>Lu Y et al.  ·  Health Informatics J  ·  17.09.2026  ·  PMID 42752222</w:t>
      </w:r>
    </w:p>
    <w:p>
      <w:r>
        <w:t>Vorher-nachher-Studie in tertärem Krankenhaus evaluiert intelligentes Katheter-Risikowarn-System mit integrierter Pflege, Wartungsübersicht und QR-Patienten-Aufklärung bei 205 Pflegekräften und Patienten mit Katheter.</w:t>
      </w:r>
    </w:p>
    <w:p>
      <w:r>
        <w:rPr>
          <w:b/>
        </w:rPr>
        <w:t xml:space="preserve">Ergebnis: </w:t>
      </w:r>
      <w:r>
        <w:t>Ungeplante Nasenmagen-Schlauch-Entfernung sank von 0,852 ‰ auf 0,501 ‰ (-41 %). Ungeplante Blasenkatheter-Entfernung sank von 0,219 ‰ auf 0,114 ‰ (-48 %). PSSUQ-Scores und Pflegezufriedenheit verbesserten sich signifikant (p &lt; 0,001). Beschriftungsfehler reduzierten sich. System verbessert dokumentierbar Patientensicherheit bei Katheterpflege.</w:t>
      </w:r>
    </w:p>
    <w:p>
      <w:r>
        <w:rPr>
          <w:b/>
          <w:sz w:val="19"/>
        </w:rPr>
        <w:t xml:space="preserve">Übertragbarkeit: </w:t>
      </w:r>
      <w:r>
        <w:rPr>
          <w:sz w:val="19"/>
        </w:rPr>
        <w:t>China, technisches System; Prinzip auf deutsche Kliniken übertragbar</w:t>
      </w:r>
    </w:p>
    <w:p>
      <w:r>
        <w:rPr>
          <w:color w:val="5A7D3A"/>
          <w:sz w:val="18"/>
        </w:rPr>
        <w:t>https://pubmed.ncbi.nlm.nih.gov/42752222/</w:t>
      </w:r>
    </w:p>
    <w:p>
      <w:pPr>
        <w:pStyle w:val="Heading2"/>
      </w:pPr>
      <w:r>
        <w:t>Nosokomiale Infektionen nach Gesichtsverletzungen im Kriegseinsatz: 40,9 % Rate bei 2.631 ukrainischen Patienten</w:t>
      </w:r>
    </w:p>
    <w:p>
      <w:r>
        <w:rPr>
          <w:i/>
          <w:color w:val="666666"/>
          <w:sz w:val="18"/>
        </w:rPr>
        <w:t>Salmanov AG et al.  ·  Wiad Lek  ·  2026  ·  PMID 42748302</w:t>
      </w:r>
    </w:p>
    <w:p>
      <w:r>
        <w:t>Multizentrische prospektive Beobachtungsstudie untersucht nosokomiale Infektionen nach kiefer-oralchirurgischen Verfahren bei Patienten mit kampfbezogenen Kopf- und Halsverletzungen 2022–2025 in der Ukraine.</w:t>
      </w:r>
    </w:p>
    <w:p>
      <w:r>
        <w:rPr>
          <w:b/>
        </w:rPr>
        <w:t xml:space="preserve">Ergebnis: </w:t>
      </w:r>
      <w:r>
        <w:t>Unter 2.631 Patienten entwickelten 40,9 % (1.075) nosokomiale Infektionen. Häufigste Typ: chirurgische Infektionen 54 %, Knochen-Gelenk-Infektionen 14,2 %, Pneumonie 12,2 %, Harnwegsinfektionen 8,6 %, Sepsis 6,6 %. Risikofaktoren: Intensivaufenthalt, Intubation, Katheter. Hohes Infektionsaufkommen unter Bedingungen extremer Verletzungsschwere zeigt Grenzen der Infektionsprävention auf.</w:t>
      </w:r>
    </w:p>
    <w:p>
      <w:r>
        <w:rPr>
          <w:b/>
          <w:sz w:val="19"/>
        </w:rPr>
        <w:t xml:space="preserve">Übertragbarkeit: </w:t>
      </w:r>
      <w:r>
        <w:rPr>
          <w:sz w:val="19"/>
        </w:rPr>
        <w:t>Osteuropa unter Kriegsbedingungen, begrenzte Übertragbarkeit auf Standards</w:t>
      </w:r>
    </w:p>
    <w:p>
      <w:r>
        <w:rPr>
          <w:color w:val="5A7D3A"/>
          <w:sz w:val="18"/>
        </w:rPr>
        <w:t>https://pubmed.ncbi.nlm.nih.gov/42748302/</w:t>
      </w:r>
    </w:p>
    <w:p>
      <w:pPr>
        <w:pStyle w:val="Heading1"/>
      </w:pPr>
      <w:r>
        <w:t>Aufgenommen am 19.09.2026</w:t>
      </w:r>
    </w:p>
    <w:p>
      <w:pPr>
        <w:pStyle w:val="Heading2"/>
      </w:pPr>
      <w:r>
        <w:t>ADRe-Profil senkte Medikationsprobleme bei älteren Patienten um 82%</w:t>
      </w:r>
    </w:p>
    <w:p>
      <w:r>
        <w:rPr>
          <w:i/>
          <w:color w:val="666666"/>
          <w:sz w:val="18"/>
        </w:rPr>
        <w:t>Logan V et al.  ·  PLoS One  ·  18.09.2026  ·  PMID 42758689</w:t>
      </w:r>
    </w:p>
    <w:p>
      <w:r>
        <w:t>Cluster-randomisierte Studie zur Frage, ob ein Adverse Drug Reaction Profile bei Patienten ≥65 Jahren mit über 4 Dauermedikationen in der Hausarztpraxis unerwünschte Arzneimittelwirkungen und Polypharmzie-Probleme reduziert.</w:t>
      </w:r>
    </w:p>
    <w:p>
      <w:r>
        <w:rPr>
          <w:b/>
        </w:rPr>
        <w:t xml:space="preserve">Ergebnis: </w:t>
      </w:r>
      <w:r>
        <w:t>82% der Interventionsgruppe (22/27 Patienten) hatten mindestens ein bearbeitetes Problem vs. 35% der Kontrollgruppe (11/30), adjustierte Odds Ratio 7,48 (95%-KI 1,99–28,10). B12-Mangel und Flecainide-Demedikation wurden kritisch erkannt; weniger Schmerzberichte in der Interventionsgruppe.</w:t>
      </w:r>
    </w:p>
    <w:p>
      <w:r>
        <w:rPr>
          <w:b/>
          <w:sz w:val="19"/>
        </w:rPr>
        <w:t xml:space="preserve">Übertragbarkeit: </w:t>
      </w:r>
      <w:r>
        <w:rPr>
          <w:sz w:val="19"/>
        </w:rPr>
        <w:t>Großbritannien/Wales, vergleichbare primärärztliche Dokumentation und Polypharmzie-Problematik</w:t>
      </w:r>
    </w:p>
    <w:p>
      <w:r>
        <w:rPr>
          <w:color w:val="5A7D3A"/>
          <w:sz w:val="18"/>
        </w:rPr>
        <w:t>https://pubmed.ncbi.nlm.nih.gov/42758689/</w:t>
      </w:r>
    </w:p>
    <w:p>
      <w:pPr>
        <w:pStyle w:val="Heading2"/>
      </w:pPr>
      <w:r>
        <w:t>Sieben unabhängige Risikofaktoren für Druckgeschwüre nach Hüftfrakturchirurgie</w:t>
      </w:r>
    </w:p>
    <w:p>
      <w:r>
        <w:rPr>
          <w:i/>
          <w:color w:val="666666"/>
          <w:sz w:val="18"/>
        </w:rPr>
        <w:t>Zhao Y et al.  ·  J Wound Ostomy Continence Nurs  ·  Sept. 2026  ·  PMID 42758160</w:t>
      </w:r>
    </w:p>
    <w:p>
      <w:r>
        <w:t>US-amerikanische Beobachtungsstudie mit 14.523 Hüftfrakturpatienten (2019) aus der NSQIP-Datenbank zur Identifizierung unabhängiger Risikofaktoren für nosokomiale Druckgeschwüre nach operativer Versorgung.</w:t>
      </w:r>
    </w:p>
    <w:p>
      <w:r>
        <w:rPr>
          <w:b/>
        </w:rPr>
        <w:t xml:space="preserve">Ergebnis: </w:t>
      </w:r>
      <w:r>
        <w:t>4,3% entwickelten mindestens ein Druckgeschwür (628/14.523). Unabhängige Risikofaktoren: Alter &gt;70 Jahre (OR 1,488), BMI &lt;18,5 kg/m² (OR 1,347), Gewichtsverlust &gt;10% in 6 Monaten (OR 2,775), Mobilitätshilfe präoperativ (OR 1,833), Insulinabhängigkeit (OR 1,753), BUN &gt;24 mg/dL (OR 1,634), Aufnahme-zu-OP-Intervall &gt;1 Tag (OR 1,400).</w:t>
      </w:r>
    </w:p>
    <w:p>
      <w:r>
        <w:rPr>
          <w:b/>
          <w:sz w:val="19"/>
        </w:rPr>
        <w:t xml:space="preserve">Übertragbarkeit: </w:t>
      </w:r>
      <w:r>
        <w:rPr>
          <w:sz w:val="19"/>
        </w:rPr>
        <w:t>USA, aber Risikofaktor-Profil und NSQIP-Methodik in deutschen Kliniken anwendbar</w:t>
      </w:r>
    </w:p>
    <w:p>
      <w:r>
        <w:rPr>
          <w:color w:val="5A7D3A"/>
          <w:sz w:val="18"/>
        </w:rPr>
        <w:t>https://pubmed.ncbi.nlm.nih.gov/42758160/</w:t>
      </w:r>
    </w:p>
    <w:p>
      <w:pPr>
        <w:pStyle w:val="Heading2"/>
      </w:pPr>
      <w:r>
        <w:t>Tuberkulose-Infektionskontroll-Plan: 70% Compliance aber massive Governance-Lücken</w:t>
      </w:r>
    </w:p>
    <w:p>
      <w:r>
        <w:rPr>
          <w:i/>
          <w:color w:val="666666"/>
          <w:sz w:val="18"/>
        </w:rPr>
        <w:t>Espinosa M et al.  ·  Biomedica  ·  20.08.2026  ·  PMID 42757801</w:t>
      </w:r>
    </w:p>
    <w:p>
      <w:r>
        <w:t>Evaluative Studie mit Mixed-Methods in Cali, Kolumbien zur Bewertung der institutionellen Kapazitäten eines seit 2016 implementierten Tuberkulose-Infektionskontroll-Plans in Gesundheitseinrichtungen mit TB-Programmen.</w:t>
      </w:r>
    </w:p>
    <w:p>
      <w:r>
        <w:rPr>
          <w:b/>
        </w:rPr>
        <w:t xml:space="preserve">Ergebnis: </w:t>
      </w:r>
      <w:r>
        <w:t>Durchschnittliches Compliance: 70,8% administrative Maßnahmen, 62,1% Umweltkon trolle, 90,5% Atemschutz. Mängel: fehlender nationaler Rahmen, hohe Personalfluktuation, unzureichende Schulung, Investitionslücken, mangelnde Überwachung arbeitsbezogener TB. Stärken: Erfassung symptomatischer Atemwegspatienten, Verfügbarkeit von Schutzausrüstung.</w:t>
      </w:r>
    </w:p>
    <w:p>
      <w:r>
        <w:rPr>
          <w:b/>
          <w:sz w:val="19"/>
        </w:rPr>
        <w:t xml:space="preserve">Übertragbarkeit: </w:t>
      </w:r>
      <w:r>
        <w:rPr>
          <w:sz w:val="19"/>
        </w:rPr>
        <w:t>Kolumbien, aber Struktur-Gap-Analyse für Infektionskontroll-Programme übertragbar auf Schwellenländer</w:t>
      </w:r>
    </w:p>
    <w:p>
      <w:r>
        <w:rPr>
          <w:color w:val="5A7D3A"/>
          <w:sz w:val="18"/>
        </w:rPr>
        <w:t>https://pubmed.ncbi.nlm.nih.gov/42757801/</w:t>
      </w:r>
    </w:p>
    <w:p>
      <w:pPr>
        <w:pStyle w:val="Heading2"/>
      </w:pPr>
      <w:r>
        <w:t>Stromausfälle durch Treibstoffmangel: Kaskadierende Patientensicherheits-Ausfälle in Konflikt-Szenarios</w:t>
      </w:r>
    </w:p>
    <w:p>
      <w:r>
        <w:rPr>
          <w:i/>
          <w:color w:val="666666"/>
          <w:sz w:val="18"/>
        </w:rPr>
        <w:t>Warrier AR et al.  ·  BMJ Open Qual  ·  17.09.2026  ·  PMID 42754290</w:t>
      </w:r>
    </w:p>
    <w:p>
      <w:r>
        <w:t>Proaktive Fehlermodalitäts- und Effektanalyse (FMEA) an 455-Bett-Klinik Südindien zur Modellierung von Patientensicherheitsrisiken bei akutem Treibstoff-/Flüssiggasausfall in geopolitischem Konflikt-Szenario.</w:t>
      </w:r>
    </w:p>
    <w:p>
      <w:r>
        <w:rPr>
          <w:b/>
        </w:rPr>
        <w:t xml:space="preserve">Ergebnis: </w:t>
      </w:r>
      <w:r>
        <w:t>62 Fehlerszenarien: 5 kritisch (RPNs ≥200), 17 hoch (150–199), 34 mittel (100–149), 6 niedrig (&lt;100). Generator/Stromversorgung Mittelwert RPN 171,0 = Systemamplifikator. Wäscherei (OP/ICU-Wäsche-Sterilisation): höchstes Einzelrisiko RPN 240. Küche LPG-abhängig: durchschnittlich 163,4.</w:t>
      </w:r>
    </w:p>
    <w:p>
      <w:r>
        <w:rPr>
          <w:b/>
          <w:sz w:val="19"/>
        </w:rPr>
        <w:t xml:space="preserve">Übertragbarkeit: </w:t>
      </w:r>
      <w:r>
        <w:rPr>
          <w:sz w:val="19"/>
        </w:rPr>
        <w:t>Indien, aber Kaskadenanalyse und Ausfallmuster sind für deutsche Krankenhäuser in Krisenszenarios anwendbar</w:t>
      </w:r>
    </w:p>
    <w:p>
      <w:r>
        <w:rPr>
          <w:color w:val="5A7D3A"/>
          <w:sz w:val="18"/>
        </w:rPr>
        <w:t>https://pubmed.ncbi.nlm.nih.gov/42754290/</w:t>
      </w:r>
    </w:p>
    <w:p>
      <w:pPr>
        <w:pStyle w:val="Heading2"/>
      </w:pPr>
      <w:r>
        <w:t>Mangelhaft vermitteltes Management-Support gefährdet psychologische Genesung nach Arbeitsverletzung</w:t>
      </w:r>
    </w:p>
    <w:p>
      <w:r>
        <w:rPr>
          <w:i/>
          <w:color w:val="666666"/>
          <w:sz w:val="18"/>
        </w:rPr>
        <w:t>Dawson A et al.  ·  J Safety Res  ·  26.05.2026  ·  PMID 42744463</w:t>
      </w:r>
    </w:p>
    <w:p>
      <w:r>
        <w:t>Zwei britische Querschnittsstudien mit Eisenbahnwerkstatt-Mitarbeitern (N₁=264, N₂=117), ob organisationale Sicherheitsunterstützung durch Vorgesetzte die psychische Belastung und emotionales Wohlbefinden nach beruflicher Verletzung moderiert.</w:t>
      </w:r>
    </w:p>
    <w:p>
      <w:r>
        <w:rPr>
          <w:b/>
        </w:rPr>
        <w:t xml:space="preserve">Ergebnis: </w:t>
      </w:r>
      <w:r>
        <w:t>Support von direkten Vorgesetzten und Kollegen moderierte nicht. Support des Top-Managements zeigte bei häufigeren Verletzungen kontraintuitiv: höhere wahrgenommene Unterstützung war mit niedrigerem positiven Affekt assoziiert – Effekt der Glaubwürdigkeitslücke zwischen symbolischer und gelebter Praxis.</w:t>
      </w:r>
    </w:p>
    <w:p>
      <w:r>
        <w:rPr>
          <w:b/>
          <w:sz w:val="19"/>
        </w:rPr>
        <w:t xml:space="preserve">Übertragbarkeit: </w:t>
      </w:r>
      <w:r>
        <w:rPr>
          <w:sz w:val="19"/>
        </w:rPr>
        <w:t>Großbritannien, Eisenbahn-Sicherheitskultur, aber Befund zu Vertrauensdefiziten ist systemübergreifend</w:t>
      </w:r>
    </w:p>
    <w:p>
      <w:r>
        <w:rPr>
          <w:color w:val="5A7D3A"/>
          <w:sz w:val="18"/>
        </w:rPr>
        <w:t>https://pubmed.ncbi.nlm.nih.gov/42744463/</w:t>
      </w:r>
    </w:p>
    <w:p>
      <w:pPr>
        <w:pStyle w:val="Heading2"/>
      </w:pPr>
      <w:r>
        <w:t>Verzögerte Entlassungsberichte zeigten keinen Sicherheitseffekt nach Pneumonie-Hospitalisierung</w:t>
      </w:r>
    </w:p>
    <w:p>
      <w:r>
        <w:rPr>
          <w:i/>
          <w:color w:val="666666"/>
          <w:sz w:val="18"/>
        </w:rPr>
        <w:t>Danjou A et al.  ·  Int J Qual Health Care  ·  08.07.2026  ·  PMID 42623130</w:t>
      </w:r>
    </w:p>
    <w:p>
      <w:r>
        <w:t>Französische Kohortenstudie zu 1004 Patienten nach Hospitalisierung wegen ambulant erworbener Lungenentzündung, ob das Fehlen einer am Entlasstag erstellten Entlassdokumentation die 30-Tage-Mortalität und Wiederaufnahmen erhöht.</w:t>
      </w:r>
    </w:p>
    <w:p>
      <w:r>
        <w:rPr>
          <w:b/>
        </w:rPr>
        <w:t xml:space="preserve">Ergebnis: </w:t>
      </w:r>
      <w:r>
        <w:t>Entlassdokumentation lag bei 30% am Entlasstag vor (305/1004). Nach Propensity-Score-Gewichtung: unerwünschte Ereignisse 12% vs. 14% (OR 1,12; 95%-KI 0,72–1,75), Wiederaufnahmen 9,6% vs. 10% (OR 1,09; 95%-KI 0,65–1,84), Mortalität 6,9% vs. 4,3% (OR 0,61; 95%-KI 0,31–1,21) – kein signifikanter Unterschied.</w:t>
      </w:r>
    </w:p>
    <w:p>
      <w:r>
        <w:rPr>
          <w:b/>
          <w:sz w:val="19"/>
        </w:rPr>
        <w:t xml:space="preserve">Übertragbarkeit: </w:t>
      </w:r>
      <w:r>
        <w:rPr>
          <w:sz w:val="19"/>
        </w:rPr>
        <w:t>Frankreich, nationales Gesundheitsdatensystem, ähnliche Entlassdokumentationspflichten</w:t>
      </w:r>
    </w:p>
    <w:p>
      <w:r>
        <w:rPr>
          <w:color w:val="5A7D3A"/>
          <w:sz w:val="18"/>
        </w:rPr>
        <w:t>https://pubmed.ncbi.nlm.nih.gov/42623130/</w:t>
      </w:r>
    </w:p>
    <w:p>
      <w:pPr>
        <w:pStyle w:val="Heading1"/>
      </w:pPr>
      <w:r>
        <w:t>Aufgenommen am 18.09.2026</w:t>
      </w:r>
    </w:p>
    <w:p>
      <w:pPr>
        <w:pStyle w:val="Heading2"/>
      </w:pPr>
      <w:r>
        <w:t>MedDRA-Standardisierung halbierte Sicherheitsmeldelücken in Operationsstudien</w:t>
      </w:r>
    </w:p>
    <w:p>
      <w:r>
        <w:rPr>
          <w:i/>
          <w:color w:val="666666"/>
          <w:sz w:val="18"/>
        </w:rPr>
        <w:t>Camasso NC et al.  ·  BMJ Open  ·  17.09.2026  ·  PMID 42754271</w:t>
      </w:r>
    </w:p>
    <w:p>
      <w:r>
        <w:t>Querschnittsanalyse untersuchte, ob standardisierte Nomenklatur (MedDRA) für Nebenwirkungen die Qualität der Sicherheitsberichterstattung in chirurgischen Randomisierungsstudien verbessert.</w:t>
      </w:r>
    </w:p>
    <w:p>
      <w:r>
        <w:rPr>
          <w:b/>
        </w:rPr>
        <w:t xml:space="preserve">Ergebnis: </w:t>
      </w:r>
      <w:r>
        <w:t>Nur 18,8% der 116 Studien nutzten MedDRA. Mit MedDRA: vollständigere Berichte (p&lt;0,001), Concordance Registry-Publication 60% vs. 82% Diskrepanz, Mortalitätsmeldungen 60% vs. 82% Diskordanz. Industriefinanzierung und US-Beteiligung erhöhten MedDRA-Adoption um Faktor 29 bzw. 4,6.</w:t>
      </w:r>
    </w:p>
    <w:p>
      <w:r>
        <w:rPr>
          <w:b/>
          <w:sz w:val="19"/>
        </w:rPr>
        <w:t xml:space="preserve">Übertragbarkeit: </w:t>
      </w:r>
      <w:r>
        <w:rPr>
          <w:sz w:val="19"/>
        </w:rPr>
        <w:t>Universelles Problem Chirurgieforschung, MedDRA auch in deutschsprachigen Kliniken einsetzbar.</w:t>
      </w:r>
    </w:p>
    <w:p>
      <w:r>
        <w:rPr>
          <w:color w:val="5A7D3A"/>
          <w:sz w:val="18"/>
        </w:rPr>
        <w:t>https://pubmed.ncbi.nlm.nih.gov/42754271/</w:t>
      </w:r>
    </w:p>
    <w:p>
      <w:pPr>
        <w:pStyle w:val="Heading2"/>
      </w:pPr>
      <w:r>
        <w:t>Pflegeleiter-Bundle senkte Pneumonierisiko bei septischen Bauchpatienten um 40 Prozent</w:t>
      </w:r>
    </w:p>
    <w:p>
      <w:r>
        <w:rPr>
          <w:i/>
          <w:color w:val="666666"/>
          <w:sz w:val="18"/>
        </w:rPr>
        <w:t>Xu Y et al.  ·  Crit Care  ·  14.09.2026  ·  PMID 42750044</w:t>
      </w:r>
    </w:p>
    <w:p>
      <w:r>
        <w:t>Studie untersuchte, ob ein Pflege-Behandlungsbündel für Atemwegsmanagement die Pneumonierate bei kritisch kranken Patienten mit Abdominalempyem senkt.</w:t>
      </w:r>
    </w:p>
    <w:p>
      <w:r>
        <w:rPr>
          <w:b/>
        </w:rPr>
        <w:t xml:space="preserve">Ergebnis: </w:t>
      </w:r>
      <w:r>
        <w:t>Das Bundle reduzierte Pneumonieinzidenz von 42,2% auf 25,6% (OR 0,39; 95%-KI 0,28–0,54; p&lt;0,001), Krankenhausaufenthalt um 20% und 28-Tage-Mortalität von 22,8% auf 18,3%. Fünf Sensitivitätsanalysen bestätigten Robustheit ohne Heterogenität zwischen Zentren.</w:t>
      </w:r>
    </w:p>
    <w:p>
      <w:r>
        <w:rPr>
          <w:b/>
          <w:sz w:val="19"/>
        </w:rPr>
        <w:t xml:space="preserve">Übertragbarkeit: </w:t>
      </w:r>
      <w:r>
        <w:rPr>
          <w:sz w:val="19"/>
        </w:rPr>
        <w:t>China, aber strukturierte Bundle-Ansätze auf Intensivstationen sind international etabliert.</w:t>
      </w:r>
    </w:p>
    <w:p>
      <w:r>
        <w:rPr>
          <w:color w:val="5A7D3A"/>
          <w:sz w:val="18"/>
        </w:rPr>
        <w:t>https://pubmed.ncbi.nlm.nih.gov/42750044/</w:t>
      </w:r>
    </w:p>
    <w:p>
      <w:pPr>
        <w:pStyle w:val="Heading2"/>
      </w:pPr>
      <w:r>
        <w:t>Pathogen-PCR-Diagnostik senkte unnötige Antibiotika und verbesserte Sepsis-Überleben</w:t>
      </w:r>
    </w:p>
    <w:p>
      <w:r>
        <w:rPr>
          <w:i/>
          <w:color w:val="666666"/>
          <w:sz w:val="18"/>
        </w:rPr>
        <w:t>Zhang H et al.  ·  Nat Commun  ·  20.08.2026  ·  PMID 42749736</w:t>
      </w:r>
    </w:p>
    <w:p>
      <w:r>
        <w:t>Randomisierte Studie testete, ob digitale PCR-Diagnostik die Antibiotikaanpassung bei Sepsis-Verdacht steuert und Sterblichkeit senkt.</w:t>
      </w:r>
    </w:p>
    <w:p>
      <w:r>
        <w:rPr>
          <w:b/>
        </w:rPr>
        <w:t xml:space="preserve">Ergebnis: </w:t>
      </w:r>
      <w:r>
        <w:t>ddPCR erhöhte korrekte Antibiotikaabdeckung von 6,1% auf 12,91% (p=0,0039), Tagesmelder schneller. Pathogenenlast &gt;3051 Kopien/ml (Tag 0), &gt;404 (Tag 3), &gt;1348 (Tag 7) vorhersagend für 28-Tage-Mortalität. Frühe genauigkeitsbasierte Therapieanpassung verbesserte Überleben signifikant.</w:t>
      </w:r>
    </w:p>
    <w:p>
      <w:r>
        <w:rPr>
          <w:b/>
          <w:sz w:val="19"/>
        </w:rPr>
        <w:t xml:space="preserve">Übertragbarkeit: </w:t>
      </w:r>
      <w:r>
        <w:rPr>
          <w:sz w:val="19"/>
        </w:rPr>
        <w:t>China-Daten, aber Diagnostik-Prinzip auf Sepsis-Erkennung universell übertragbar.</w:t>
      </w:r>
    </w:p>
    <w:p>
      <w:r>
        <w:rPr>
          <w:color w:val="5A7D3A"/>
          <w:sz w:val="18"/>
        </w:rPr>
        <w:t>https://pubmed.ncbi.nlm.nih.gov/42749736/</w:t>
      </w:r>
    </w:p>
    <w:p>
      <w:pPr>
        <w:pStyle w:val="Heading2"/>
      </w:pPr>
      <w:r>
        <w:t>Sicherheitsclutter-Taxonomie identifiziert verschleuerte Prozesse, die Schaden nicht mindern</w:t>
      </w:r>
    </w:p>
    <w:p>
      <w:r>
        <w:rPr>
          <w:i/>
          <w:color w:val="666666"/>
          <w:sz w:val="18"/>
        </w:rPr>
        <w:t>Raheemy Y et al.  ·  J Safety Res  ·  15.06.2026  ·  PMID 42744505</w:t>
      </w:r>
    </w:p>
    <w:p>
      <w:r>
        <w:t>Qualitative Studie mit Expertenfokusgruppen und 11 Jobsite-Ethnografien (Bauwesen) entwickelt eine Diagnose-Klassifikation für Sicherheitsmaßnahmen, die Zeit verschwenden.</w:t>
      </w:r>
    </w:p>
    <w:p>
      <w:r>
        <w:rPr>
          <w:b/>
        </w:rPr>
        <w:t xml:space="preserve">Ergebnis: </w:t>
      </w:r>
      <w:r>
        <w:t>Sicherheitsclutter definiert als Aufwand, der ohne Sicherheitsgewinn Ressourcen bindet: bedingte Clutter (exzessiv, irrelevant, unerreichbar) und reine Clutter (ungültig). 11 Clutter-Typen mit Erkennungszeichen und Fallbeispielen benannt, Triangulation Fokusgruppe-Ethnografie validiert Kategoriengrenzen.</w:t>
      </w:r>
    </w:p>
    <w:p>
      <w:r>
        <w:rPr>
          <w:b/>
          <w:sz w:val="19"/>
        </w:rPr>
        <w:t xml:space="preserve">Übertragbarkeit: </w:t>
      </w:r>
      <w:r>
        <w:rPr>
          <w:sz w:val="19"/>
        </w:rPr>
        <w:t>Bauwesen primär, Konzept auf Krankenhausprozesse (Fehlermeldesysteme, Dokumentation) übertragbar.</w:t>
      </w:r>
    </w:p>
    <w:p>
      <w:r>
        <w:rPr>
          <w:color w:val="5A7D3A"/>
          <w:sz w:val="18"/>
        </w:rPr>
        <w:t>https://pubmed.ncbi.nlm.nih.gov/42744505/</w:t>
      </w:r>
    </w:p>
    <w:p>
      <w:pPr>
        <w:pStyle w:val="Heading2"/>
      </w:pPr>
      <w:r>
        <w:t>Digitalisierung steigert Arbeitsschutzegoismus, wenn Mitsprache fehlt – Spanien und Dänemark</w:t>
      </w:r>
    </w:p>
    <w:p>
      <w:r>
        <w:rPr>
          <w:i/>
          <w:color w:val="666666"/>
          <w:sz w:val="18"/>
        </w:rPr>
        <w:t>Foncubierta-Rodríguez MJ  ·  J Safety Res  ·  17.08.2026  ·  PMID 42744499</w:t>
      </w:r>
    </w:p>
    <w:p>
      <w:r>
        <w:t>Querschnittswiederholung (ESENER 2019/2024) testet, ob Digitalisierung universell zum Reaktions- statt Präventivsicherheit führt und wie Mitarbeitermitsprache puffert.</w:t>
      </w:r>
    </w:p>
    <w:p>
      <w:r>
        <w:rPr>
          <w:b/>
        </w:rPr>
        <w:t xml:space="preserve">Ergebnis: </w:t>
      </w:r>
      <w:r>
        <w:t>Digitalisierung triggert überall Organisationsreaktivität; Arbeitermitsprache war 2019 inaktiv (nonsignifikant), 2024 aktiver Schutzfaktor gegen Reaktivität (β=0,547; p&lt;0,001). Traditionelle Industrie 2024 deutlich schlechter in Sicherheitsmanagement als Dienstleistung. Strukturelle Schichtung nach Sektor neu in post-pandemischer Ära.</w:t>
      </w:r>
    </w:p>
    <w:p>
      <w:r>
        <w:rPr>
          <w:b/>
          <w:sz w:val="19"/>
        </w:rPr>
        <w:t xml:space="preserve">Übertragbarkeit: </w:t>
      </w:r>
      <w:r>
        <w:rPr>
          <w:sz w:val="19"/>
        </w:rPr>
        <w:t>Spanien/Dänemark-Daten, EU-Risikomanagement-Rahmen, aber Befund zur Digitalisierungs-Reaktivität systemunabhängig.</w:t>
      </w:r>
    </w:p>
    <w:p>
      <w:r>
        <w:rPr>
          <w:color w:val="5A7D3A"/>
          <w:sz w:val="18"/>
        </w:rPr>
        <w:t>https://pubmed.ncbi.nlm.nih.gov/42744499/</w:t>
      </w:r>
    </w:p>
    <w:p>
      <w:pPr>
        <w:pStyle w:val="Heading2"/>
      </w:pPr>
      <w:r>
        <w:t>Multipack-Implantate kürzten OP-Zeit und Verpackungsabfall in Wirbelsäulenchirurgie</w:t>
      </w:r>
    </w:p>
    <w:p>
      <w:r>
        <w:rPr>
          <w:i/>
          <w:color w:val="666666"/>
          <w:sz w:val="18"/>
        </w:rPr>
        <w:t>Bludau F et al.  ·  Medicina (Kaunas)  ·  26.06.2026  ·  PMID 42512785</w:t>
      </w:r>
    </w:p>
    <w:p>
      <w:r>
        <w:t>HTA-Vergleichsstudie mit Messungen während acht Fusionen bewertete Einzelimplantat- gegen Multipack-Versorgung auf Workflow, Materialverbrauch und CO2-Bilanz.</w:t>
      </w:r>
    </w:p>
    <w:p>
      <w:r>
        <w:rPr>
          <w:b/>
        </w:rPr>
        <w:t xml:space="preserve">Ergebnis: </w:t>
      </w:r>
      <w:r>
        <w:t>Multipack senkte Griffzeit um 58% (25,4 s vs. 58,7 s; p=0,004), Steriltransferaufwand um Faktor 4,76, Verpackungsvolumen um Faktor 5,6, CO2-Äquivalent 0,017 kg vs. 0,026 kg. Personalzufriedenheit 73% positiv; Nachteil: möglicher Materialabfall ungenutzter Implantate.</w:t>
      </w:r>
    </w:p>
    <w:p>
      <w:r>
        <w:rPr>
          <w:b/>
          <w:sz w:val="19"/>
        </w:rPr>
        <w:t xml:space="preserve">Übertragbarkeit: </w:t>
      </w:r>
      <w:r>
        <w:rPr>
          <w:sz w:val="19"/>
        </w:rPr>
        <w:t>Deutschland: Universitätsklinikum Mannheim, vergleichbare Operationsumgebung und Dokumentationspflichten.</w:t>
      </w:r>
    </w:p>
    <w:p>
      <w:r>
        <w:rPr>
          <w:color w:val="5A7D3A"/>
          <w:sz w:val="18"/>
        </w:rPr>
        <w:t>https://pubmed.ncbi.nlm.nih.gov/42512785/</w:t>
      </w:r>
    </w:p>
    <w:p>
      <w:pPr>
        <w:pStyle w:val="Heading1"/>
      </w:pPr>
      <w:r>
        <w:t>Aufgenommen am 17.09.2026</w:t>
      </w:r>
    </w:p>
    <w:p>
      <w:pPr>
        <w:pStyle w:val="Heading2"/>
      </w:pPr>
      <w:r>
        <w:t>Nachhaltige Schutzausrüstung reduziert Carbon-Footprint ohne Infektionsrisiko</w:t>
      </w:r>
    </w:p>
    <w:p>
      <w:r>
        <w:rPr>
          <w:i/>
          <w:color w:val="666666"/>
          <w:sz w:val="18"/>
        </w:rPr>
        <w:t>Slyne H  ·  Br J Nurs  ·  17.09.2026  ·  PMID 42748025</w:t>
      </w:r>
    </w:p>
    <w:p>
      <w:r>
        <w:t>Übersichtsarbeit der Infection Prevention and Control Abteilung eines britischen Universitätskrankenhauses zu erfolgreichen Implementierungen nachhaltiger Persönlicher Schutzausrüstung (Handschuhe, Schürzen, Isolation Gowns, Masken).</w:t>
      </w:r>
    </w:p>
    <w:p>
      <w:r>
        <w:rPr>
          <w:b/>
        </w:rPr>
        <w:t xml:space="preserve">Ergebnis: </w:t>
      </w:r>
      <w:r>
        <w:t>Studienübersicht zeigt Kosteneinsparungen, CO₂-Reduktionen und verbesserte Mitarbeiter-Zufriedenheit sowie Hautgesundheit ohne nachteilige Auswirkungen auf nosokomiale Infektionen. Handschuh-Übernutzung identifiziert als größter Carbon-Hotspot im Gesundheitswesen.</w:t>
      </w:r>
    </w:p>
    <w:p>
      <w:r>
        <w:rPr>
          <w:b/>
          <w:sz w:val="19"/>
        </w:rPr>
        <w:t xml:space="preserve">Übertragbarkeit: </w:t>
      </w:r>
      <w:r>
        <w:rPr>
          <w:sz w:val="19"/>
        </w:rPr>
        <w:t>Vereinigtes Königreich, vergleichbare PPE-Standards und Dokumentationspflichten</w:t>
      </w:r>
    </w:p>
    <w:p>
      <w:r>
        <w:rPr>
          <w:color w:val="5A7D3A"/>
          <w:sz w:val="18"/>
        </w:rPr>
        <w:t>https://pubmed.ncbi.nlm.nih.gov/42748025/</w:t>
      </w:r>
    </w:p>
    <w:p>
      <w:pPr>
        <w:pStyle w:val="Heading2"/>
      </w:pPr>
      <w:r>
        <w:t>Perioperative Hypersensibilität im Kindesalter: Qualitative Analyse französischer Allergie-Kohorten</w:t>
      </w:r>
    </w:p>
    <w:p>
      <w:r>
        <w:rPr>
          <w:i/>
          <w:color w:val="666666"/>
          <w:sz w:val="18"/>
        </w:rPr>
        <w:t>Michel MP et al.  ·  Pediatr Allergy Immunol  ·  Sept. 2026  ·  PMID 42747994</w:t>
      </w:r>
    </w:p>
    <w:p>
      <w:r>
        <w:t>Analyse von 4.605 perioperativen Hypersensibilitätsreaktionen (461 Fälle bei Kindern &lt;18 Jahren) aus französischem GERAP-Netzwerk über drei Dekaden (1997–2024) mit Allergen-Identifikation und Schweregraduierung.</w:t>
      </w:r>
    </w:p>
    <w:p>
      <w:r>
        <w:rPr>
          <w:b/>
        </w:rPr>
        <w:t xml:space="preserve">Ergebnis: </w:t>
      </w:r>
      <w:r>
        <w:t>Kausales Allergen in 43% der Fälle identifiziert (Neuromuscular-Blocking-Agents 31%, Latex 30%, Antibiotika 16%). Reaktionen mit Allergen-ID waren signifikant schwerer (Grad 3–4: 46% vs. 13%; p &lt; 0,001) mit höherer Tryptase (Median 16,0 vs. 4,0 μg/L; p &lt; 0,001). Latex-Reaktionen verschwanden nach 2017.</w:t>
      </w:r>
    </w:p>
    <w:p>
      <w:r>
        <w:rPr>
          <w:b/>
          <w:sz w:val="19"/>
        </w:rPr>
        <w:t xml:space="preserve">Übertragbarkeit: </w:t>
      </w:r>
      <w:r>
        <w:rPr>
          <w:sz w:val="19"/>
        </w:rPr>
        <w:t>Frankreich, hochgradig vergleichbar; europäischer Standard für Allergie-Registrierung und Perioperativ-Management</w:t>
      </w:r>
    </w:p>
    <w:p>
      <w:r>
        <w:rPr>
          <w:color w:val="5A7D3A"/>
          <w:sz w:val="18"/>
        </w:rPr>
        <w:t>https://pubmed.ncbi.nlm.nih.gov/42747994/</w:t>
      </w:r>
    </w:p>
    <w:p>
      <w:pPr>
        <w:pStyle w:val="Heading2"/>
      </w:pPr>
      <w:r>
        <w:t>Cefazolin mindestens gleichwertig zu Flucloxacillin bei Staphylococcus-aureus-Bakteriämie</w:t>
      </w:r>
    </w:p>
    <w:p>
      <w:r>
        <w:rPr>
          <w:i/>
          <w:color w:val="666666"/>
          <w:sz w:val="18"/>
        </w:rPr>
        <w:t>Jager NGL et al.  ·  Ned Tijdschr Geneeskd  ·  16.09.2026  ·  PMID 42747445</w:t>
      </w:r>
    </w:p>
    <w:p>
      <w:r>
        <w:t>Die internationale adaptive Plattformstudie SNAP verglich Cefazolin mit (Flu-)Cloxacillin bei Erwachsenen mit Methicillin-empfindlicher S.-aureus-Bakteriämie.</w:t>
      </w:r>
    </w:p>
    <w:p>
      <w:r>
        <w:rPr>
          <w:b/>
        </w:rPr>
        <w:t xml:space="preserve">Ergebnis: </w:t>
      </w:r>
      <w:r>
        <w:t>90-Tage-Mortalität 15,0% mit Cefazolin versus 17,0% mit (Flu-)Cloxacillin (aOR 0,81; 95%-KrI 0,59–1,12; Nicht-Unterlegenheitswahrscheinlichkeit 99,2%). Akutes Nierenschädigungsrisiko war bei Cefazolin signifikant niedriger (13,9% vs. 19,6%; aOR 0,67; 95%-KrI 0,50–0,89).</w:t>
      </w:r>
    </w:p>
    <w:p>
      <w:r>
        <w:rPr>
          <w:b/>
          <w:sz w:val="19"/>
        </w:rPr>
        <w:t xml:space="preserve">Übertragbarkeit: </w:t>
      </w:r>
      <w:r>
        <w:rPr>
          <w:sz w:val="19"/>
        </w:rPr>
        <w:t>Niederlande, vergleichbares Sozialversicherungssystem und ärztliches Handeln</w:t>
      </w:r>
    </w:p>
    <w:p>
      <w:r>
        <w:rPr>
          <w:color w:val="5A7D3A"/>
          <w:sz w:val="18"/>
        </w:rPr>
        <w:t>https://pubmed.ncbi.nlm.nih.gov/42747445/</w:t>
      </w:r>
    </w:p>
    <w:p>
      <w:pPr>
        <w:pStyle w:val="Heading2"/>
      </w:pPr>
      <w:r>
        <w:t>Opioid-Allergien-Labeling bewirkt unnötige Ausgrenzung sicherer Analgetika</w:t>
      </w:r>
    </w:p>
    <w:p>
      <w:r>
        <w:rPr>
          <w:i/>
          <w:color w:val="666666"/>
          <w:sz w:val="18"/>
        </w:rPr>
        <w:t>Eiset AH et al.  ·  Basic Clin Pharmacol Toxicol  ·  Okt. 2026  ·  PMID 42746690</w:t>
      </w:r>
    </w:p>
    <w:p>
      <w:r>
        <w:t>Audit von 14.661 Opioid-Allergieregistrierungen in elektronischen Patientenakten von sechs dänischen Krankenhäusern (2020–2023) validierte Text-Mining-Algorithmen zur Unterscheidung wahrer Überempfindlichkeit von normalen Nebenwirkungen.</w:t>
      </w:r>
    </w:p>
    <w:p>
      <w:r>
        <w:rPr>
          <w:b/>
        </w:rPr>
        <w:t xml:space="preserve">Ergebnis: </w:t>
      </w:r>
      <w:r>
        <w:t>Nur 19% (n = 2.710) der Registrierungen entsprachen einer wahrscheinlichen Allergie, überwiegend Hautausschlag oder Pruritus (71%). 33% der Patienten mit registrierter Allergie erhielten später sicher das gleiche Opioid; das Label ist ein sehr schwacher Prädiktor für echte Hypersensibilität.</w:t>
      </w:r>
    </w:p>
    <w:p>
      <w:r>
        <w:rPr>
          <w:b/>
          <w:sz w:val="19"/>
        </w:rPr>
        <w:t xml:space="preserve">Übertragbarkeit: </w:t>
      </w:r>
      <w:r>
        <w:rPr>
          <w:sz w:val="19"/>
        </w:rPr>
        <w:t>Dänemark mit Fehlermeldesystem ohne Verschuldensnachweis – Übertragung auf Arzthaftungs-Systeme mit Beweislast limitiert</w:t>
      </w:r>
    </w:p>
    <w:p>
      <w:r>
        <w:rPr>
          <w:color w:val="5A7D3A"/>
          <w:sz w:val="18"/>
        </w:rPr>
        <w:t>https://pubmed.ncbi.nlm.nih.gov/42746690/</w:t>
      </w:r>
    </w:p>
    <w:p>
      <w:pPr>
        <w:pStyle w:val="Heading2"/>
      </w:pPr>
      <w:r>
        <w:t>Falsch dokumentierte Penicillin-Allergie erhöht Infektionsrisiko bei Leberzirrhose-Patienten</w:t>
      </w:r>
    </w:p>
    <w:p>
      <w:r>
        <w:rPr>
          <w:i/>
          <w:color w:val="666666"/>
          <w:sz w:val="18"/>
        </w:rPr>
        <w:t>Danpanichkul P et al.  ·  Alcohol Clin Exp Res (Hoboken)  ·  Sept. 2026  ·  PMID 42745200</w:t>
      </w:r>
    </w:p>
    <w:p>
      <w:r>
        <w:t>Kohortenstudie mit Propensity-Score-Matching (n = 2.388) untersuchte die Auswirkung dokumentierter Penicillin-Allergie-Labels auf Infektionsraten bei Patienten mit alkoholischer Leberzirrhose in den USA.</w:t>
      </w:r>
    </w:p>
    <w:p>
      <w:r>
        <w:rPr>
          <w:b/>
        </w:rPr>
        <w:t xml:space="preserve">Ergebnis: </w:t>
      </w:r>
      <w:r>
        <w:t>Penicillin-Allergie-Label assoziiert mit erhöhtem Sepsis-Risiko (11,4% vs. 6,4%; HR 1,53; 95%-KI 1,16–2,02), Pneumonie (8,7% vs. 5,0%; HR 1,49), Harnwegsinfekt (11,7% vs. 6,6%; HR 1,55) und Alkoholhepatitis (19,0% vs. 13,5%; HR 1,27).</w:t>
      </w:r>
    </w:p>
    <w:p>
      <w:r>
        <w:rPr>
          <w:b/>
          <w:sz w:val="19"/>
        </w:rPr>
        <w:t xml:space="preserve">Übertragbarkeit: </w:t>
      </w:r>
      <w:r>
        <w:rPr>
          <w:sz w:val="19"/>
        </w:rPr>
        <w:t>USA-Daten, begrenzte Übertragbarkeit auf deutsche Dokumentations- und Haftungspraxis</w:t>
      </w:r>
    </w:p>
    <w:p>
      <w:r>
        <w:rPr>
          <w:color w:val="5A7D3A"/>
          <w:sz w:val="18"/>
        </w:rPr>
        <w:t>https://pubmed.ncbi.nlm.nih.gov/42745200/</w:t>
      </w:r>
    </w:p>
    <w:p>
      <w:pPr>
        <w:pStyle w:val="Heading2"/>
      </w:pPr>
      <w:r>
        <w:t>Hohe Sepsis-Inzidenz bei alkoholbedingter Zirrhose: 30%-Mortalität in erster Hospitalisierung</w:t>
      </w:r>
    </w:p>
    <w:p>
      <w:r>
        <w:rPr>
          <w:i/>
          <w:color w:val="666666"/>
          <w:sz w:val="18"/>
        </w:rPr>
        <w:t>Stenderup CJ et al.  ·  Liver Int  ·  Okt. 2026  ·  PMID 42741819</w:t>
      </w:r>
    </w:p>
    <w:p>
      <w:r>
        <w:t>Dänische populationsbasierte Studie aller Patienten mit alkoholbedingter Zirrhose (n = 2.511, 2013–2022) quantifizierte Sepsis- und Bakteriämie-Inzidenz und prognostische Faktoren.</w:t>
      </w:r>
    </w:p>
    <w:p>
      <w:r>
        <w:rPr>
          <w:b/>
        </w:rPr>
        <w:t xml:space="preserve">Ergebnis: </w:t>
      </w:r>
      <w:r>
        <w:t>Kumulative 3-Jahres-Inzidenz ernst gemeinter Systeminfektionen 5,9% (95%-KI 5,0–6,9). MELD-NA-Score war unabhängiger Prädiktor (sHR 1,05 pro Punkt; 95%-KI 1,02–1,08). 30-Tage-Mortalität nach Hospitalisierung mit Infektion: 30% (95%-KI 23–37). Enterobacterales 38%, Staphylokokken 25%, Streptokokken 22% der Isolate.</w:t>
      </w:r>
    </w:p>
    <w:p>
      <w:r>
        <w:rPr>
          <w:b/>
          <w:sz w:val="19"/>
        </w:rPr>
        <w:t xml:space="preserve">Übertragbarkeit: </w:t>
      </w:r>
      <w:r>
        <w:rPr>
          <w:sz w:val="19"/>
        </w:rPr>
        <w:t>Dänemark mit skandinavischem Melde- und Entschädigungssystem – Fallzahlen nicht mit deutschem vergleichbar</w:t>
      </w:r>
    </w:p>
    <w:p>
      <w:r>
        <w:rPr>
          <w:color w:val="5A7D3A"/>
          <w:sz w:val="18"/>
        </w:rPr>
        <w:t>https://pubmed.ncbi.nlm.nih.gov/42741819/</w:t>
      </w:r>
    </w:p>
    <w:p>
      <w:pPr>
        <w:pStyle w:val="Heading1"/>
      </w:pPr>
      <w:r>
        <w:t>Aufgenommen am 16.09.2026</w:t>
      </w:r>
    </w:p>
    <w:p>
      <w:pPr>
        <w:pStyle w:val="Heading2"/>
      </w:pPr>
      <w:r>
        <w:t>Infektionsprävention im Kreißsaal: Motivation schlägt Ressourcenmangel</w:t>
      </w:r>
    </w:p>
    <w:p>
      <w:r>
        <w:rPr>
          <w:i/>
          <w:color w:val="666666"/>
          <w:sz w:val="18"/>
        </w:rPr>
        <w:t>Riches JM et al.  ·  BMJ Glob Health  ·  15.09.2026  ·  PMID 42744564</w:t>
      </w:r>
    </w:p>
    <w:p>
      <w:r>
        <w:t>Mixed-Methods-Studie in drei Kreißsälen in Malawi identifizierte Barrieren und Förderfaktoren für Infektionsprävention vor Kaiserschnitt, um eine Verhaltensintervention zu entwickeln.</w:t>
      </w:r>
    </w:p>
    <w:p>
      <w:r>
        <w:rPr>
          <w:b/>
        </w:rPr>
        <w:t xml:space="preserve">Ergebnis: </w:t>
      </w:r>
      <w:r>
        <w:t>Beobachtung zeigte erhebliche Lücken in Händehygiene, aseptischer Technik und sterilem Arbeiten. Ressourcenmangel wirkte direkt und indirekt als Barriere durch Auswirkung auf Motivation. "Passion" für Patienten, regelmäßige Supervision und "Reminders" waren Förderfaktoren. Indirekte Motivation spielte eine ebenso wichtige Rolle wie verfügbare Ressourcen.</w:t>
      </w:r>
    </w:p>
    <w:p>
      <w:r>
        <w:rPr>
          <w:b/>
          <w:sz w:val="19"/>
        </w:rPr>
        <w:t xml:space="preserve">Übertragbarkeit: </w:t>
      </w:r>
      <w:r>
        <w:rPr>
          <w:sz w:val="19"/>
        </w:rPr>
        <w:t>Malawi, Erkenntnisse für Implementierungsforschung zur Verhaltensänderung</w:t>
      </w:r>
    </w:p>
    <w:p>
      <w:r>
        <w:rPr>
          <w:color w:val="5A7D3A"/>
          <w:sz w:val="18"/>
        </w:rPr>
        <w:t>https://pubmed.ncbi.nlm.nih.gov/42744564/</w:t>
      </w:r>
    </w:p>
    <w:p>
      <w:pPr>
        <w:pStyle w:val="Heading2"/>
      </w:pPr>
      <w:r>
        <w:t>"Zweites Opfer" in Gesundheitsberufen: physische, mentale und berufliche Schäden</w:t>
      </w:r>
    </w:p>
    <w:p>
      <w:r>
        <w:rPr>
          <w:i/>
          <w:color w:val="666666"/>
          <w:sz w:val="18"/>
        </w:rPr>
        <w:t>Vianna Gonçalves da Costa ECDC et al.  ·  PLoS One  ·  15.09.2026  ·  PMID 42743379</w:t>
      </w:r>
    </w:p>
    <w:p>
      <w:r>
        <w:t>Scoping Review untersuchte psychische, physische, berufliche und soziale Folgen des "Zweiten-Opfer"-Phänomens (psychische Traumatisierung von Fachpersonen nach Behandlungsfehlern) in 37 Publikationen aus 2009-2024.</w:t>
      </w:r>
    </w:p>
    <w:p>
      <w:r>
        <w:rPr>
          <w:b/>
        </w:rPr>
        <w:t xml:space="preserve">Ergebnis: </w:t>
      </w:r>
      <w:r>
        <w:t>Überwiegend qualitative Studien (n=14), hospitales Umfeld (n=25), Pflege am meisten erforscht (n=27). 39 Auswirkungen wurden kartografiert: psychische Dimension identifizierte Suizidgedanken als Risiko. Berufliche Dimension mit höchster Anzahl von Folgen (Kündigungen, Karriereverlust). Studie belegt starke Beziehung zwischen Fehlertraumatisierung und Arbeiter-Sicherheit.</w:t>
      </w:r>
    </w:p>
    <w:p>
      <w:r>
        <w:rPr>
          <w:b/>
          <w:sz w:val="19"/>
        </w:rPr>
        <w:t xml:space="preserve">Übertragbarkeit: </w:t>
      </w:r>
      <w:r>
        <w:rPr>
          <w:sz w:val="19"/>
        </w:rPr>
        <w:t>Globale Evidenz aus 22 Ländern, Pflegefokus, Implementierung notwendig</w:t>
      </w:r>
    </w:p>
    <w:p>
      <w:r>
        <w:rPr>
          <w:color w:val="5A7D3A"/>
          <w:sz w:val="18"/>
        </w:rPr>
        <w:t>https://pubmed.ncbi.nlm.nih.gov/42743379/</w:t>
      </w:r>
    </w:p>
    <w:p>
      <w:pPr>
        <w:pStyle w:val="Heading2"/>
      </w:pPr>
      <w:r>
        <w:t>ESBL-Kolonisierungsdruck erhöht Infektionsrisiko auf Neugeborenen-Stationen</w:t>
      </w:r>
    </w:p>
    <w:p>
      <w:r>
        <w:rPr>
          <w:i/>
          <w:color w:val="666666"/>
          <w:sz w:val="18"/>
        </w:rPr>
        <w:t>Cook A et al.  ·  JAMA Netw Open  ·  01.09.2026  ·  PMID 42742944</w:t>
      </w:r>
    </w:p>
    <w:p>
      <w:r>
        <w:t>Multizenterstudie an 24 europäischen Neonatalstationen untersuchte, ob die Kolonisierungsdichte mit ESBL-tragenden Bakterien das Risiko für Neugeborene, selbst eine ESBL-Infektion zu entwickeln, beeinflusst.</w:t>
      </w:r>
    </w:p>
    <w:p>
      <w:r>
        <w:rPr>
          <w:b/>
        </w:rPr>
        <w:t xml:space="preserve">Ergebnis: </w:t>
      </w:r>
      <w:r>
        <w:t>Eine Zunahme der Kolonisierungsdruck um 10 % war mit erhöhter Übernahmequote assoziiert (OR 1,89 bei 4-Tage-Abstand, 95%-KI 1,22-2,94; OR 1,76 bei 7 Tagen, 95%-KI 1,26-2,63; OR 1,73 bei 14 Tagen, 95%-KI 1,15-2,52). Maßnahmen auf Stationsebene könnten direkte und indirekte Vorteile bringen.</w:t>
      </w:r>
    </w:p>
    <w:p>
      <w:r>
        <w:rPr>
          <w:b/>
          <w:sz w:val="19"/>
        </w:rPr>
        <w:t xml:space="preserve">Übertragbarkeit: </w:t>
      </w:r>
      <w:r>
        <w:rPr>
          <w:sz w:val="19"/>
        </w:rPr>
        <w:t>Acht europäische Länder, deutschsprachige Einrichtungen vergleichbar</w:t>
      </w:r>
    </w:p>
    <w:p>
      <w:r>
        <w:rPr>
          <w:color w:val="5A7D3A"/>
          <w:sz w:val="18"/>
        </w:rPr>
        <w:t>https://pubmed.ncbi.nlm.nih.gov/42742944/</w:t>
      </w:r>
    </w:p>
    <w:p>
      <w:pPr>
        <w:pStyle w:val="Heading2"/>
      </w:pPr>
      <w:r>
        <w:t>Psychische und kontextuelle Faktoren treiben Infektionsprävention mehr als Wissen</w:t>
      </w:r>
    </w:p>
    <w:p>
      <w:r>
        <w:rPr>
          <w:i/>
          <w:color w:val="666666"/>
          <w:sz w:val="18"/>
        </w:rPr>
        <w:t>Ventura F et al.  ·  Glob Health Action  ·  15.09.2026  ·  PMID 42742348</w:t>
      </w:r>
    </w:p>
    <w:p>
      <w:r>
        <w:t>Evaluierung des kulturell adaptierten InovSafeCare-Modells zur Infektionsprävention und -kontrolle bei 486 Pflegestudierenden in vier Instituten in Tansania und Madagaskar mit Fragebogen und Pfadanalyse.</w:t>
      </w:r>
    </w:p>
    <w:p>
      <w:r>
        <w:rPr>
          <w:b/>
        </w:rPr>
        <w:t xml:space="preserve">Ergebnis: </w:t>
      </w:r>
      <w:r>
        <w:t>10-Faktor-Lösung erklärt 52,1 % der Varianz (Cronbachs α: 0,64-0,88). Strukturmodell zeigt akzeptable Passung (CFI=0,88; RMSEA=0,097). Kein direkter Zusammenhang zwischen Bildung und Adhärenz, stattdessen vermittelter Effekt über Motivation, Erwartungen, Skepsis, Umweltkomplexität und Überlastung. Modell erklärt 18,9 % der Varianz in Adhärenz. Psychische und kontextuelle Mediatoren sind kritisch.</w:t>
      </w:r>
    </w:p>
    <w:p>
      <w:r>
        <w:rPr>
          <w:b/>
          <w:sz w:val="19"/>
        </w:rPr>
        <w:t xml:space="preserve">Übertragbarkeit: </w:t>
      </w:r>
      <w:r>
        <w:rPr>
          <w:sz w:val="19"/>
        </w:rPr>
        <w:t>Sub-Sahara-Afrika, valides Messinstrument für Implementierungsforschung</w:t>
      </w:r>
    </w:p>
    <w:p>
      <w:r>
        <w:rPr>
          <w:color w:val="5A7D3A"/>
          <w:sz w:val="18"/>
        </w:rPr>
        <w:t>https://pubmed.ncbi.nlm.nih.gov/42742348/</w:t>
      </w:r>
    </w:p>
    <w:p>
      <w:pPr>
        <w:pStyle w:val="Heading2"/>
      </w:pPr>
      <w:r>
        <w:t>Landiolol senkt Herzfrequenz bei Sepsis mit neuem Vorhofflimmern sicher</w:t>
      </w:r>
    </w:p>
    <w:p>
      <w:r>
        <w:rPr>
          <w:i/>
          <w:color w:val="666666"/>
          <w:sz w:val="18"/>
        </w:rPr>
        <w:t>Guarracino F et al.  ·  Crit Care  ·  07.08.2026  ·  PMID 42736570</w:t>
      </w:r>
    </w:p>
    <w:p>
      <w:r>
        <w:t>Europäischer Delphi-Konsens von neun Intensivmedizinern und Kardiologen untersuchte, wie man Vorhofflimmern bei septischem Schock mit Herzfrequenzkontrolle managen sollte, mit Fokus auf den ultraselektiven β₁-Blocker Landiolol.</w:t>
      </w:r>
    </w:p>
    <w:p>
      <w:r>
        <w:rPr>
          <w:b/>
        </w:rPr>
        <w:t xml:space="preserve">Ergebnis: </w:t>
      </w:r>
      <w:r>
        <w:t>70,9 % der 55 Aussagen erreichten Konsens (≥80 % Übereinstimmung). Landiolol wurde für HR-Kontrolle bei ausgewählten Sepsis-Patienten empfohlen: ohne Bolus starten, niedrig titrieren, Ziel &lt;110 bpm mit engem hämodynamischen Monitoring. Kein Konsens zu optimaler Dauer oder Einsatz bei schwerer Ventrikeldysfunktion.</w:t>
      </w:r>
    </w:p>
    <w:p>
      <w:r>
        <w:rPr>
          <w:b/>
          <w:sz w:val="19"/>
        </w:rPr>
        <w:t xml:space="preserve">Übertragbarkeit: </w:t>
      </w:r>
      <w:r>
        <w:rPr>
          <w:sz w:val="19"/>
        </w:rPr>
        <w:t>Deutschland, Österreich, Frankreich, europäisches Konsens-Verfahren</w:t>
      </w:r>
    </w:p>
    <w:p>
      <w:r>
        <w:rPr>
          <w:color w:val="5A7D3A"/>
          <w:sz w:val="18"/>
        </w:rPr>
        <w:t>https://pubmed.ncbi.nlm.nih.gov/42736570/</w:t>
      </w:r>
    </w:p>
    <w:p>
      <w:pPr>
        <w:pStyle w:val="Heading2"/>
      </w:pPr>
      <w:r>
        <w:t>Serum-Meprin α identifiziert SIRS-Patienten zuverlässiger als klassische Parameter</w:t>
      </w:r>
    </w:p>
    <w:p>
      <w:r>
        <w:rPr>
          <w:i/>
          <w:color w:val="666666"/>
          <w:sz w:val="18"/>
        </w:rPr>
        <w:t>Beckinger S et al.  ·  Mol Med  ·  18.07.2026  ·  PMID 42471588</w:t>
      </w:r>
    </w:p>
    <w:p>
      <w:r>
        <w:t>Studie mit Transgen-Mausmodell und Intensivpatienten untersuchte, ob das Metalloprotease Meprin α als Biomarker für systemische Entzündungsreaktion (SIRS) taugt.</w:t>
      </w:r>
    </w:p>
    <w:p>
      <w:r>
        <w:rPr>
          <w:b/>
        </w:rPr>
        <w:t xml:space="preserve">Ergebnis: </w:t>
      </w:r>
      <w:r>
        <w:t>K5Mα-Mäuse entwickelten tödliche SIRS mit Hypothermie, Gewichtsverlust, Anämie und Zytokinsturm. Serum-Meprin-α-Spiegel korrelierten mit Krankheitsverlauf. Hohe Meprin-α-Spiegel waren bei allen SIRS-Patienten (n=19) nachweisbar, aber bei keinem Non-SIRS-Patienten (n=29). Meprin α korrelierte mit C-reaktivem Protein, Procalcitonin und Leukozyten, erlaubte aber klare Unterscheidung von SIRS.</w:t>
      </w:r>
    </w:p>
    <w:p>
      <w:r>
        <w:rPr>
          <w:b/>
          <w:sz w:val="19"/>
        </w:rPr>
        <w:t xml:space="preserve">Übertragbarkeit: </w:t>
      </w:r>
      <w:r>
        <w:rPr>
          <w:sz w:val="19"/>
        </w:rPr>
        <w:t>Deutschland, kleine Kohorte, größere Multizenterstudie notwendig</w:t>
      </w:r>
    </w:p>
    <w:p>
      <w:r>
        <w:rPr>
          <w:color w:val="5A7D3A"/>
          <w:sz w:val="18"/>
        </w:rPr>
        <w:t>https://pubmed.ncbi.nlm.nih.gov/42471588/</w:t>
      </w:r>
    </w:p>
    <w:p>
      <w:pPr>
        <w:pStyle w:val="Heading1"/>
      </w:pPr>
      <w:r>
        <w:t>Aufgenommen am 15.09.2026</w:t>
      </w:r>
    </w:p>
    <w:p>
      <w:pPr>
        <w:pStyle w:val="Heading2"/>
      </w:pPr>
      <w:r>
        <w:t>Notfalldesinfektion von Einmalmedizinprodukten: Peressigsäure und Ethanol reduzierten Keime um über 90 %</w:t>
      </w:r>
    </w:p>
    <w:p>
      <w:r>
        <w:rPr>
          <w:i/>
          <w:color w:val="666666"/>
          <w:sz w:val="18"/>
        </w:rPr>
        <w:t>Chevalley K et al.  ·  Prehosp Disaster Med  ·  14.09.2026  ·  PMID 42734164</w:t>
      </w:r>
    </w:p>
    <w:p>
      <w:r>
        <w:t>Bei Versorgungsengpässen wurden klinisch genutzte Einmalmedizinprodukte (Tuben, Masken, Katheter) mit Peressigsäure, 70%-Ethanol oder Spülmittel gereinigt und dann auf Keimbelastung sowie funktionelle Integrität getestet.</w:t>
      </w:r>
    </w:p>
    <w:p>
      <w:r>
        <w:rPr>
          <w:b/>
        </w:rPr>
        <w:t xml:space="preserve">Ergebnis: </w:t>
      </w:r>
      <w:r>
        <w:t>Alle drei Mittel reduzierten die bakterielle Belastung statistisch signifikant (p&lt;0,05), ohne strukturelle Schäden zu verursachen. H. influenzae und S. aureus waren vor Reinigung in 47 % der Atemwegsgeräte nachweisbar, danach in keiner Probe. Methode ersetzt kein validiertes Sterilisationsverfahren, könnte aber Notfall-Letztresort sein.</w:t>
      </w:r>
    </w:p>
    <w:p>
      <w:r>
        <w:rPr>
          <w:b/>
          <w:sz w:val="19"/>
        </w:rPr>
        <w:t xml:space="preserve">Übertragbarkeit: </w:t>
      </w:r>
      <w:r>
        <w:rPr>
          <w:sz w:val="19"/>
        </w:rPr>
        <w:t>Schweden, mit Kriegsszenario relevante Szene; Methoden sind auch in Deutschland anwendbar, für Lagerhaltung im Krisenfall zu prüfen.</w:t>
      </w:r>
    </w:p>
    <w:p>
      <w:r>
        <w:rPr>
          <w:color w:val="5A7D3A"/>
          <w:sz w:val="18"/>
        </w:rPr>
        <w:t>https://pubmed.ncbi.nlm.nih.gov/42734164/</w:t>
      </w:r>
    </w:p>
    <w:p>
      <w:pPr>
        <w:pStyle w:val="Heading2"/>
      </w:pPr>
      <w:r>
        <w:t>Sicherheitspläne für psychiatrische Patienten: Zahl stieg, aber Qualität blieb niedrig (7,67 von 22 Punkten)</w:t>
      </w:r>
    </w:p>
    <w:p>
      <w:r>
        <w:rPr>
          <w:i/>
          <w:color w:val="666666"/>
          <w:sz w:val="18"/>
        </w:rPr>
        <w:t>Farmer E et al.  ·  Int J Ment Health Nurs  ·  Okt. 2026  ·  PMID 42725545</w:t>
      </w:r>
    </w:p>
    <w:p>
      <w:r>
        <w:t>Ein australisches Spital führte Schulung für strukturierte Sicherheitspläne bei entlassungsreifen psychiatrischen Patienten ein und untersuchte Implementierungsbefunde und Qualität.</w:t>
      </w:r>
    </w:p>
    <w:p>
      <w:r>
        <w:rPr>
          <w:b/>
        </w:rPr>
        <w:t xml:space="preserve">Ergebnis: </w:t>
      </w:r>
      <w:r>
        <w:t>Zahl der erstellten Pläne nahm zu. Durchschnittliche Qualität aber niedrig (7,67 Punkte auf 22-Punkte-Skala). Qualitative Befunde ergaben Barrieren: Zeitdruck, unzureichende Schulung, Procedural Drift. Fachkräfte und Patienten erwähnten Wert, aber fehlende Komponenten (Frühwarnzeichen, Bewältigungsmechanismen, externe Ressourcen, Mittelzugang).</w:t>
      </w:r>
    </w:p>
    <w:p>
      <w:r>
        <w:rPr>
          <w:b/>
          <w:sz w:val="19"/>
        </w:rPr>
        <w:t xml:space="preserve">Übertragbarkeit: </w:t>
      </w:r>
      <w:r>
        <w:rPr>
          <w:sz w:val="19"/>
        </w:rPr>
        <w:t>Australien, Struktur übertragbar; zeigt Implementierungs-Compliance-Problem: Prozess läuft, Qualität nicht.</w:t>
      </w:r>
    </w:p>
    <w:p>
      <w:r>
        <w:rPr>
          <w:color w:val="5A7D3A"/>
          <w:sz w:val="18"/>
        </w:rPr>
        <w:t>https://pubmed.ncbi.nlm.nih.gov/42725545/</w:t>
      </w:r>
    </w:p>
    <w:p>
      <w:pPr>
        <w:pStyle w:val="Heading2"/>
      </w:pPr>
      <w:r>
        <w:t>Hand- und Handybelastung von Klinikpersonal: Keimabstrichkulturen zeigen positive Assoziation, aber nur teilweise Übereinstimmung</w:t>
      </w:r>
    </w:p>
    <w:p>
      <w:r>
        <w:rPr>
          <w:i/>
          <w:color w:val="666666"/>
          <w:sz w:val="18"/>
        </w:rPr>
        <w:t>Jiang W et al.  ·  Front Cell Infect Microbiol  ·  26.08.2026  ·  PMID 42718797</w:t>
      </w:r>
    </w:p>
    <w:p>
      <w:r>
        <w:t>In einer chinesischen Klinik wurden an 126 Ärzte, Pfleger und Helfer gepaarte Handabstriche und Handyoberflächen-Kulturen genommen, um Kontamination und Übertragungspotential zu charakterisieren.</w:t>
      </w:r>
    </w:p>
    <w:p>
      <w:r>
        <w:rPr>
          <w:b/>
        </w:rPr>
        <w:t xml:space="preserve">Ergebnis: </w:t>
      </w:r>
      <w:r>
        <w:t>Mittlere Handbelastung 11,67 CFU/cm² (IQR 1,67–54,17), Handys 950 CFU (IQR 300–2575). Positive Spearman-Korrelation (rho=0,514, p&lt;0,001). Mediale Jaccard-Ähnlichkeit 0,50, durchschnittlich 1 gemeinsamer Keim pro Paar. Koagulase-negative Staphylokokken einzige signifikante diskordante Detektion.</w:t>
      </w:r>
    </w:p>
    <w:p>
      <w:r>
        <w:rPr>
          <w:b/>
          <w:sz w:val="19"/>
        </w:rPr>
        <w:t xml:space="preserve">Übertragbarkeit: </w:t>
      </w:r>
      <w:r>
        <w:rPr>
          <w:sz w:val="19"/>
        </w:rPr>
        <w:t>China, aber Handkeim-Epidemiologie universal; Hinweis: Hände und Handys sind nicht synchron kontaminiert – erfordert separate Hygienemaßnahmen.</w:t>
      </w:r>
    </w:p>
    <w:p>
      <w:r>
        <w:rPr>
          <w:color w:val="5A7D3A"/>
          <w:sz w:val="18"/>
        </w:rPr>
        <w:t>https://pubmed.ncbi.nlm.nih.gov/42718797/</w:t>
      </w:r>
    </w:p>
    <w:p>
      <w:pPr>
        <w:pStyle w:val="Heading2"/>
      </w:pPr>
      <w:r>
        <w:t>NHS-Fehlermeldesystem: Gesetzliche Haftungsregeln beeinflussen, was gemeldet wird und was daraus folgt</w:t>
      </w:r>
    </w:p>
    <w:p>
      <w:r>
        <w:rPr>
          <w:i/>
          <w:color w:val="666666"/>
          <w:sz w:val="18"/>
        </w:rPr>
        <w:t>Tingle J  ·  Br J Nurs  ·  06.08.2026  ·  PMID 42555592</w:t>
      </w:r>
    </w:p>
    <w:p>
      <w:r>
        <w:t>Britischer Rechtswissenschaftler analysiert aktuelle NHS-Resolution-Berichte zur Meldekultur und Entschädigungssystematik im englischen Gesundheitswesen.</w:t>
      </w:r>
    </w:p>
    <w:p>
      <w:r>
        <w:rPr>
          <w:b/>
        </w:rPr>
        <w:t xml:space="preserve">Ergebnis: </w:t>
      </w:r>
      <w:r>
        <w:t>Britisches System nutzt kein Schuldprinzip wie Deutschland (§ 630h BGB Umkehr), sondern klärt durch NHS Resolution (Haftung bei diagnostizierbarem Schaden). Meldezahlen daher nicht mit Deutschland vergleichbar. Unterschiede in Entschädigung (no-fault-Prinzipien England vs. Schuldnachweis Deutschland) bestimmen, welche Fehler gemeldet und entschädigt werden.</w:t>
      </w:r>
    </w:p>
    <w:p>
      <w:r>
        <w:rPr>
          <w:b/>
          <w:sz w:val="19"/>
        </w:rPr>
        <w:t xml:space="preserve">Übertragbarkeit: </w:t>
      </w:r>
      <w:r>
        <w:rPr>
          <w:sz w:val="19"/>
        </w:rPr>
        <w:t>Großbritannien/England – Haftungssystem (Entschädigung ohne Schuldnachweis) fundamental anders als Deutschland; Transfer-Vorsicht wegen Meldevergleichbarkeit.</w:t>
      </w:r>
    </w:p>
    <w:p>
      <w:r>
        <w:rPr>
          <w:color w:val="5A7D3A"/>
          <w:sz w:val="18"/>
        </w:rPr>
        <w:t>https://pubmed.ncbi.nlm.nih.gov/42555592/</w:t>
      </w:r>
    </w:p>
    <w:p>
      <w:pPr>
        <w:pStyle w:val="Heading2"/>
      </w:pPr>
      <w:r>
        <w:t>After Action Review verbesser­te Fehlerkultur in irischem Spital, nicht aber Sekundärtraumata von Mitarbeitern</w:t>
      </w:r>
    </w:p>
    <w:p>
      <w:r>
        <w:rPr>
          <w:i/>
          <w:color w:val="666666"/>
          <w:sz w:val="18"/>
        </w:rPr>
        <w:t>McCarthy SE et al.  ·  BMC Health Serv Res  ·  15.07.2026  ·  PMID 42458452</w:t>
      </w:r>
    </w:p>
    <w:p>
      <w:r>
        <w:t>Ein irisches Universitätsspital führte Simulation-basiertes Training in After Action Review (AAR) durch und untersuchte, ob dies die Patientensicherheitskultur (HSOPS 2.0) und das Wohlbefinden von Mitarbeitern (SVEST) nach 12 Monaten verbessert.</w:t>
      </w:r>
    </w:p>
    <w:p>
      <w:r>
        <w:rPr>
          <w:b/>
        </w:rPr>
        <w:t xml:space="preserve">Ergebnis: </w:t>
      </w:r>
      <w:r>
        <w:t>37 % des Personals kannte AAR, 10 % nahmen teil. 39 AAR-Sitzungen wurden durchgeführt (Kosten durchschnittlich 48 Euro). Gesamtsicherheitskultur stieg nicht an (33 % vs. 16 % Responserate, Fallzahl n=586). Aber: Reaktion auf Fehler verbesserte sich (mit AAR-Teilnahme assoziiert). Psychisches und physisches Wohlbefinden der Mitarbeiter verschlechterte sich, ebenso berufliche Selbstwirksamkeit.</w:t>
      </w:r>
    </w:p>
    <w:p>
      <w:r>
        <w:rPr>
          <w:b/>
          <w:sz w:val="19"/>
        </w:rPr>
        <w:t xml:space="preserve">Übertragbarkeit: </w:t>
      </w:r>
      <w:r>
        <w:rPr>
          <w:sz w:val="19"/>
        </w:rPr>
        <w:t>Irland, vergleichbare Meldekultur; AAR-Struktur ist deutsch übertragbar, Resultate aber ernüchternd.</w:t>
      </w:r>
    </w:p>
    <w:p>
      <w:r>
        <w:rPr>
          <w:color w:val="5A7D3A"/>
          <w:sz w:val="18"/>
        </w:rPr>
        <w:t>https://pubmed.ncbi.nlm.nih.gov/42458452/</w:t>
      </w:r>
    </w:p>
    <w:p>
      <w:pPr>
        <w:pStyle w:val="Heading2"/>
      </w:pPr>
      <w:r>
        <w:t>Öffentlichkeit überschätzte Antidepressiva-Wirkung um 11 Punkte (MADRS) und unterschätzte Nebenwirkungshäufigkeit</w:t>
      </w:r>
    </w:p>
    <w:p>
      <w:r>
        <w:rPr>
          <w:i/>
          <w:color w:val="666666"/>
          <w:sz w:val="18"/>
        </w:rPr>
        <w:t>Apel K et al.  ·  Sci Rep  ·  15.07.2026  ·  PMID 42457810</w:t>
      </w:r>
    </w:p>
    <w:p>
      <w:r>
        <w:t>Deutsche Querschnittsstudie (208 Personen mit und ohne Depressionserfahrung) mithilfe von Fallszenarien und normierten Bewertungs­skalen: Wie wirksam müssen Antidepressiva sein, um Nebenwirkungen zu tolerieren.</w:t>
      </w:r>
    </w:p>
    <w:p>
      <w:r>
        <w:rPr>
          <w:b/>
        </w:rPr>
        <w:t xml:space="preserve">Ergebnis: </w:t>
      </w:r>
      <w:r>
        <w:t>Antidepressiva-Wirkung wurde signifikant überschätzt (t(204)=8,96, p&lt;0,001, d=0,63, 11 MADRS-Punkte über echte Rate). Bei 13 von 15 abgefragten Nebenwirkungen wurden Häufigkeiten unterschätzt. Beispiel: Um Anfallsrisiko zu akzeptieren, forderten Befragte Symptomverbesserung um 23,51±8,82 MADRS-Punkte. Diskrepanz zwischen Erwartung und evidenzbasierter Information erheblich.</w:t>
      </w:r>
    </w:p>
    <w:p>
      <w:r>
        <w:rPr>
          <w:b/>
          <w:sz w:val="19"/>
        </w:rPr>
        <w:t xml:space="preserve">Übertragbarkeit: </w:t>
      </w:r>
      <w:r>
        <w:rPr>
          <w:sz w:val="19"/>
        </w:rPr>
        <w:t>Deutschland (Erlangen), direkt anwendbar; zeigt Beratungslücke: Patient-Arzt-Kommunikation muss Risiken explicit adressieren.</w:t>
      </w:r>
    </w:p>
    <w:p>
      <w:r>
        <w:rPr>
          <w:color w:val="5A7D3A"/>
          <w:sz w:val="18"/>
        </w:rPr>
        <w:t>https://pubmed.ncbi.nlm.nih.gov/42457810/</w:t>
      </w:r>
    </w:p>
    <w:p>
      <w:pPr>
        <w:pStyle w:val="Heading1"/>
      </w:pPr>
      <w:r>
        <w:t>Aufgenommen am 14.09.2026</w:t>
      </w:r>
    </w:p>
    <w:p>
      <w:pPr>
        <w:pStyle w:val="Heading2"/>
      </w:pPr>
      <w:r>
        <w:t>Digitale Risikovorhersage-Tools für Medikationsschaden: Klinikerperspektiven zu Adoptionsbarrieren</w:t>
      </w:r>
    </w:p>
    <w:p>
      <w:r>
        <w:rPr>
          <w:i/>
          <w:color w:val="666666"/>
          <w:sz w:val="18"/>
        </w:rPr>
        <w:t>Lam JYJ et al.  ·  J Eval Clin Pract  ·  Sept. 2026  ·  PMID 42732558</w:t>
      </w:r>
    </w:p>
    <w:p>
      <w:r>
        <w:t>Qualitative Studie mit 22 semi-strukturierten Interviews (6 Ärzte, 11 Apotheker, 5 Informatiker) an drei australischen Krankenhäusern: Barrieren und Enabler für die Implementierung digitaler Risikovorhersage-Tools (RPTs) zur Medikationssicherheit.</w:t>
      </w:r>
    </w:p>
    <w:p>
      <w:r>
        <w:rPr>
          <w:b/>
        </w:rPr>
        <w:t xml:space="preserve">Ergebnis: </w:t>
      </w:r>
      <w:r>
        <w:t>Fünf Themen identifiziert: Kliniker-Vertrauen, wahrgenommener Nutzen, organisationale Bereitschaft, Workflow-Integration, Zuverlässigkeit. Gewünschte Merkmale: Automatisierung, Feedback-Funktionalität, Workflow-Kompatibilität. Enablers: umfassendes Feedback, Ressourcentplanung. Barrieren: unzureichende Systemintegration, Tool-Zuverlässigkeitsunsicherheit. 85 % erkannten Wert für Medikationssicherheit.</w:t>
      </w:r>
    </w:p>
    <w:p>
      <w:r>
        <w:rPr>
          <w:b/>
          <w:sz w:val="19"/>
        </w:rPr>
        <w:t xml:space="preserve">Übertragbarkeit: </w:t>
      </w:r>
      <w:r>
        <w:rPr>
          <w:sz w:val="19"/>
        </w:rPr>
        <w:t>Australien, Sozialversicherungssystem unterschiedlich, Implementierungs-Ergebnisse gelten konzeptuell</w:t>
      </w:r>
    </w:p>
    <w:p>
      <w:r>
        <w:rPr>
          <w:color w:val="5A7D3A"/>
          <w:sz w:val="18"/>
        </w:rPr>
        <w:t>https://pubmed.ncbi.nlm.nih.gov/42732558/</w:t>
      </w:r>
    </w:p>
    <w:p>
      <w:pPr>
        <w:pStyle w:val="Heading2"/>
      </w:pPr>
      <w:r>
        <w:t>Frühe Erkennung und Behandlung von CAR-T- und VST-Zelltherapie-Komplikationen: Klinische Leitlinie</w:t>
      </w:r>
    </w:p>
    <w:p>
      <w:r>
        <w:rPr>
          <w:i/>
          <w:color w:val="666666"/>
          <w:sz w:val="18"/>
        </w:rPr>
        <w:t>Ussowicz M et al.  ·  Front Immunol  ·  28.08.2026  ·  PMID 42729916</w:t>
      </w:r>
    </w:p>
    <w:p>
      <w:r>
        <w:t>Narrative Übersicht mit aktualisierten Empfehlungen zur Erkennung und Behandlung früher Toxizitätsprofile nach CAR-T-Zelltherapie und virusspezifischen T-Lymphozyten, basierend auf validierten Grading-Kriterien.</w:t>
      </w:r>
    </w:p>
    <w:p>
      <w:r>
        <w:rPr>
          <w:b/>
        </w:rPr>
        <w:t xml:space="preserve">Ergebnis: </w:t>
      </w:r>
      <w:r>
        <w:t>CRS wird nach ASTCT-Kriterien klassifiziert, Tocilizumab ist Erst-Therapie. Steroid-refraktäre ICANS wird mit hochdosiertem intravenösem Anakinra (bis 12 mg/kg/Tag) behandelt – derzeit best-studied second-line-Option. ICAHT nutzt validiertes EHA/EBMT-Framework (früh Tag 0–30, spät &gt;Tag 30). Übersicht nennt konkrete Monitoreintervalle, ICU-Eskalationskriterien und differenziell-diagnostische Ansätze.</w:t>
      </w:r>
    </w:p>
    <w:p>
      <w:r>
        <w:rPr>
          <w:b/>
          <w:sz w:val="19"/>
        </w:rPr>
        <w:t xml:space="preserve">Übertragbarkeit: </w:t>
      </w:r>
      <w:r>
        <w:rPr>
          <w:sz w:val="19"/>
        </w:rPr>
        <w:t>Europäische und internationale Praxis; Empfehlungen sind versorgungssystemunabhängig</w:t>
      </w:r>
    </w:p>
    <w:p>
      <w:r>
        <w:rPr>
          <w:color w:val="5A7D3A"/>
          <w:sz w:val="18"/>
        </w:rPr>
        <w:t>https://pubmed.ncbi.nlm.nih.gov/42729916/</w:t>
      </w:r>
    </w:p>
    <w:p>
      <w:pPr>
        <w:pStyle w:val="Heading2"/>
      </w:pPr>
      <w:r>
        <w:t>Multidimensionales Nomogramm zur Stratifizierung des Blutinfektionsrisikos bei Hämatologischen Malignitäten</w:t>
      </w:r>
    </w:p>
    <w:p>
      <w:r>
        <w:rPr>
          <w:i/>
          <w:color w:val="666666"/>
          <w:sz w:val="18"/>
        </w:rPr>
        <w:t>Lan L et al.  ·  Front Cell Infect Microbiol  ·  27.08.2026  ·  PMID 42723754</w:t>
      </w:r>
    </w:p>
    <w:p>
      <w:r>
        <w:t>Retrospektive Kohortenstudie mit 3014 Patienten mit hämatologischen Malignitäten: Entwicklung eines Prognosemodells zur Vorhersage von Blutinfektionen und 90-Tage-Mortalität.</w:t>
      </w:r>
    </w:p>
    <w:p>
      <w:r>
        <w:rPr>
          <w:b/>
        </w:rPr>
        <w:t xml:space="preserve">Ergebnis: </w:t>
      </w:r>
      <w:r>
        <w:t>Das Modell für Blutinfektion erreichte AUC 0,775 (Ableitungskohorte) und 0,761 (Validierungskohorte); das Mortalitätsmodell C-Index von 0,721 bzw. 0,713. Neutrophilenzahl ≤0,5 × 10⁹/L erhielt höchste Punkt-Allokation. Polymikrobielle Infektionen zeigten höchste Gewichtung im Mortalitätsmodell. Beide Modelle zeigten akzeptable Kalibrierung.</w:t>
      </w:r>
    </w:p>
    <w:p>
      <w:r>
        <w:rPr>
          <w:b/>
          <w:sz w:val="19"/>
        </w:rPr>
        <w:t xml:space="preserve">Übertragbarkeit: </w:t>
      </w:r>
      <w:r>
        <w:rPr>
          <w:sz w:val="19"/>
        </w:rPr>
        <w:t>China, ähnliche Versorgungsstrukturen in Universitätskliniken; externe Validierung erforderlich</w:t>
      </w:r>
    </w:p>
    <w:p>
      <w:r>
        <w:rPr>
          <w:color w:val="5A7D3A"/>
          <w:sz w:val="18"/>
        </w:rPr>
        <w:t>https://pubmed.ncbi.nlm.nih.gov/42723754/</w:t>
      </w:r>
    </w:p>
    <w:p>
      <w:pPr>
        <w:pStyle w:val="Heading2"/>
      </w:pPr>
      <w:r>
        <w:t>Risikoadjustierung bei Medicare-Advantage mit Encounter-Daten: HCC-Modell-Rekalibrierung</w:t>
      </w:r>
    </w:p>
    <w:p>
      <w:r>
        <w:rPr>
          <w:i/>
          <w:color w:val="666666"/>
          <w:sz w:val="18"/>
        </w:rPr>
        <w:t>Carlin CS et al.  ·  Health Serv Res  ·  Okt. 2026  ·  PMID 42720268</w:t>
      </w:r>
    </w:p>
    <w:p>
      <w:r>
        <w:t>Vergleichende Analyse US-amerikanischer Claims: Replizierung des CMS Hierarchical Condition Category (HCC) Risikomodells mit Traditional Medicare (TM) und Medicare Advantage (MA) Daten 2016–2022; Test der Auswirkungen auf Zahlungsanpassungen.</w:t>
      </w:r>
    </w:p>
    <w:p>
      <w:r>
        <w:rPr>
          <w:b/>
        </w:rPr>
        <w:t xml:space="preserve">Ergebnis: </w:t>
      </w:r>
      <w:r>
        <w:t>MA-basierte HCC-Scores waren 8,9 % niedriger als TM-basierte (p &lt; 0,001). TM-Daten aus 2016–2022 führten zu 1,7 % niedrigeren durchschnittlichen Scores vs. CMS-Standard (2018–2019). Koeffizient-Trends bei steigenden Diagnose-Prävalenzen waren verdünnt. Unterschiede zwischen MA und TM variierten über die Score-Verteilung. Rassische/ethnische oder ländliche Unterschiede in Enrollmentinzentiven entstanden nicht.</w:t>
      </w:r>
    </w:p>
    <w:p>
      <w:r>
        <w:rPr>
          <w:b/>
          <w:sz w:val="19"/>
        </w:rPr>
        <w:t xml:space="preserve">Übertragbarkeit: </w:t>
      </w:r>
      <w:r>
        <w:rPr>
          <w:sz w:val="19"/>
        </w:rPr>
        <w:t>USA, nicht übertragbar; Finanzierungslogik grundlegend anders</w:t>
      </w:r>
    </w:p>
    <w:p>
      <w:r>
        <w:rPr>
          <w:color w:val="5A7D3A"/>
          <w:sz w:val="18"/>
        </w:rPr>
        <w:t>https://pubmed.ncbi.nlm.nih.gov/42720268/</w:t>
      </w:r>
    </w:p>
    <w:p>
      <w:pPr>
        <w:pStyle w:val="Heading2"/>
      </w:pPr>
      <w:r>
        <w:t>Dynamische Probiotika-Strategien für Nekrotisierende Enterokolitis in Frühgeborenen: Studienprotokoll</w:t>
      </w:r>
    </w:p>
    <w:p>
      <w:r>
        <w:rPr>
          <w:i/>
          <w:color w:val="666666"/>
          <w:sz w:val="18"/>
        </w:rPr>
        <w:t>Chehrazi M et al.  ·  BMJ Paediatr Open  ·  19.08.2026  ·  PMID 42618333</w:t>
      </w:r>
    </w:p>
    <w:p>
      <w:r>
        <w:t>Studienprotokoll für Target-Trial-Emulation mit Routinedaten der UK National Neonatal Research Database: Kausaleffekte von vier Probiotika-Entscheidungsdimensionen (Zeitpunkt, Stamm, Substrat, Antibiotikamanagement) bei Frühgeborenen ≤31+6 Wochen.</w:t>
      </w:r>
    </w:p>
    <w:p>
      <w:r>
        <w:rPr>
          <w:b/>
        </w:rPr>
        <w:t xml:space="preserve">Ergebnis: </w:t>
      </w:r>
      <w:r>
        <w:t>Protokoll beschreibt strukturiertes Kausalitätsgerüst für vier Probiotika-Dimensionen und explizite Zeit-Varianz-Berücksichtigung. Primäre Endpunkte: chirurgische Nekrotisierende Enterokolitis, Spätinfektionen und Sterblichkeit. Parametrische g-Formeln werden zur Confounder-Kontrolle verwendet; Ergebnisse sollen Designentwicklung randomisierter Versuche informieren.</w:t>
      </w:r>
    </w:p>
    <w:p>
      <w:r>
        <w:rPr>
          <w:b/>
          <w:sz w:val="19"/>
        </w:rPr>
        <w:t xml:space="preserve">Übertragbarkeit: </w:t>
      </w:r>
      <w:r>
        <w:rPr>
          <w:sz w:val="19"/>
        </w:rPr>
        <w:t>UK-Datenbank, vergleichbar mit deutschen Neonatologiedatensammlungen</w:t>
      </w:r>
    </w:p>
    <w:p>
      <w:r>
        <w:rPr>
          <w:color w:val="5A7D3A"/>
          <w:sz w:val="18"/>
        </w:rPr>
        <w:t>https://pubmed.ncbi.nlm.nih.gov/42618333/</w:t>
      </w:r>
    </w:p>
    <w:p>
      <w:pPr>
        <w:pStyle w:val="Heading2"/>
      </w:pPr>
      <w:r>
        <w:t>Phosphatidylcholin-Störungen bei kritischer Krankheit und Sepsis deuten auf biologische Besonderheit hin</w:t>
      </w:r>
    </w:p>
    <w:p>
      <w:r>
        <w:rPr>
          <w:i/>
          <w:color w:val="666666"/>
          <w:sz w:val="18"/>
        </w:rPr>
        <w:t>Mester P et al.  ·  Int J Mol Sci  ·  30.07.2026  ·  PMID 42589512</w:t>
      </w:r>
    </w:p>
    <w:p>
      <w:r>
        <w:t>Querschnittstudie mit 160 Intensivpatienten: 21 Plasma-Phosphatidylcholin-Spezies wurden gemessen, davon 15 bei SIRS/Sepsis ohne Zirrhose reduziert, nur PC 32:0 konsistent erhöht.</w:t>
      </w:r>
    </w:p>
    <w:p>
      <w:r>
        <w:rPr>
          <w:b/>
        </w:rPr>
        <w:t xml:space="preserve">Ergebnis: </w:t>
      </w:r>
      <w:r>
        <w:t>Bei SIRS/Sepsis ohne Leberzirrhose zeigten sich 15 PC-Spezies deutlich vermindert (p &lt; 0,05), während PC 32:0 erhöht war. Das Muster persistierte bei kombinierter Leberzirrhose. Keine signifikanten Unterschiede zwischen Überlebenden und Verstorbenen. PC 32:0-Erhöhung war transversgeschnitten konsistent und könnte eigene biologische Rolle spielen.</w:t>
      </w:r>
    </w:p>
    <w:p>
      <w:r>
        <w:rPr>
          <w:b/>
          <w:sz w:val="19"/>
        </w:rPr>
        <w:t xml:space="preserve">Übertragbarkeit: </w:t>
      </w:r>
      <w:r>
        <w:rPr>
          <w:sz w:val="19"/>
        </w:rPr>
        <w:t>Deutschland, diagnostische Markerbewertung ohne operative Folgerung; Datengrundlage unklar</w:t>
      </w:r>
    </w:p>
    <w:p>
      <w:r>
        <w:rPr>
          <w:color w:val="5A7D3A"/>
          <w:sz w:val="18"/>
        </w:rPr>
        <w:t>https://pubmed.ncbi.nlm.nih.gov/42589512/</w:t>
      </w:r>
    </w:p>
    <w:p>
      <w:pPr>
        <w:pStyle w:val="Heading2"/>
      </w:pPr>
      <w:r>
        <w:t>Natürliche Belüftung in Isoliermodulen reduziert Infektionsrisiko für Personal bei 160 L/s Luftwechsel</w:t>
      </w:r>
    </w:p>
    <w:p>
      <w:r>
        <w:rPr>
          <w:i/>
          <w:color w:val="666666"/>
          <w:sz w:val="18"/>
        </w:rPr>
        <w:t>Fontana L et al.  ·  Infect Control Hosp Epidemiol  ·  16.07.2026  ·  PMID 42460458</w:t>
      </w:r>
    </w:p>
    <w:p>
      <w:r>
        <w:t>Experimentelle CFD-Validierung und Simulation für tragbare Infektionsbehandlungsmodule (IDTM): Windgestützte natürliche Belüftung unter Variation von Windgeschwindigkeit (1–4 m/s) und Konfiguration; Infektionsrisiko mittels Wells-Riley-Modell für sieben Atemwegskeime quantifiziert.</w:t>
      </w:r>
    </w:p>
    <w:p>
      <w:r>
        <w:rPr>
          <w:b/>
        </w:rPr>
        <w:t xml:space="preserve">Ergebnis: </w:t>
      </w:r>
      <w:r>
        <w:t>Luftstrom variierte von 7 L/s (optimales Zugriffsmodul mit Windschutz + Moskitonetz bei 1 m/s) bis &gt;3100 L/s (ohne Netze bei 4 m/s). Bei 160 L/s Luftwechsel reduzierte sich Kurzzeit-Infektionsrisiko für Fachpersonal auf ≤1 % für alle Keime, Langzeit-Koexposition bei hohem Emissions-Erreger blieb jedoch risikobehaftet. Entfernung der Fenster-Netze war Wirksamste Massnahme; Hybrid-Belüftung nötig bei niedriger Windgeschwindigkeit.</w:t>
      </w:r>
    </w:p>
    <w:p>
      <w:r>
        <w:rPr>
          <w:b/>
          <w:sz w:val="19"/>
        </w:rPr>
        <w:t xml:space="preserve">Übertragbarkeit: </w:t>
      </w:r>
      <w:r>
        <w:rPr>
          <w:sz w:val="19"/>
        </w:rPr>
        <w:t>Schweiz/Österreich, modulare Isolierinfrastruktur; Ergebnis ist auf Notfallkapazität übertragbar</w:t>
      </w:r>
    </w:p>
    <w:p>
      <w:r>
        <w:rPr>
          <w:color w:val="5A7D3A"/>
          <w:sz w:val="18"/>
        </w:rPr>
        <w:t>https://pubmed.ncbi.nlm.nih.gov/42460458/</w:t>
      </w:r>
    </w:p>
    <w:p>
      <w:pPr>
        <w:pStyle w:val="Heading1"/>
      </w:pPr>
      <w:r>
        <w:t>Aufgenommen am 13.09.2026</w:t>
      </w:r>
    </w:p>
    <w:p>
      <w:pPr>
        <w:pStyle w:val="Heading2"/>
      </w:pPr>
      <w:r>
        <w:t>TeamSTEPPS-Workshop verbessert Teamfähigkeit und Kommunikationswissen bei Studierenden</w:t>
      </w:r>
    </w:p>
    <w:p>
      <w:r>
        <w:rPr>
          <w:i/>
          <w:color w:val="666666"/>
          <w:sz w:val="18"/>
        </w:rPr>
        <w:t>Yin Y et al.  ·  Nurs Open  ·  Sept. 2026  ·  PMID 42728718</w:t>
      </w:r>
    </w:p>
    <w:p>
      <w:r>
        <w:t>Evaluierung eines 4-stündigen TeamSTEPPS-Workshops mit Szenarien und Simulation für Studierende des dritten Jahres zur Verbesserung von Teamfähigkeit und Kommunikation im Versorgungskontext.</w:t>
      </w:r>
    </w:p>
    <w:p>
      <w:r>
        <w:rPr>
          <w:b/>
        </w:rPr>
        <w:t xml:space="preserve">Ergebnis: </w:t>
      </w:r>
      <w:r>
        <w:t>Gesamtscore der Chinese TeamSTEPPS Teamwork Perceptions Questionnaire stieg von 149,06±15,18 auf 159,45±16,28 (signifikant); Wissensprüfung stieg von 80,14±18,29 auf 87,33±8,43; Verbesserungen in Teamstruktur, Führung, Situationsbewusstsein und gegenseitiger Unterstützung.</w:t>
      </w:r>
    </w:p>
    <w:p>
      <w:r>
        <w:rPr>
          <w:b/>
          <w:sz w:val="19"/>
        </w:rPr>
        <w:t xml:space="preserve">Übertragbarkeit: </w:t>
      </w:r>
      <w:r>
        <w:rPr>
          <w:sz w:val="19"/>
        </w:rPr>
        <w:t>China, aber Transfer zu Deutschland durch standardisierte Simulation und etablierte Teamwork-Tools.</w:t>
      </w:r>
    </w:p>
    <w:p>
      <w:r>
        <w:rPr>
          <w:color w:val="5A7D3A"/>
          <w:sz w:val="18"/>
        </w:rPr>
        <w:t>https://pubmed.ncbi.nlm.nih.gov/42728718/</w:t>
      </w:r>
    </w:p>
    <w:p>
      <w:pPr>
        <w:pStyle w:val="Heading2"/>
      </w:pPr>
      <w:r>
        <w:t>Vasopressoranwendung bei Sepsis in Uganda und Ruanda: Prädiktoren für deren Einsatz</w:t>
      </w:r>
    </w:p>
    <w:p>
      <w:r>
        <w:rPr>
          <w:i/>
          <w:color w:val="666666"/>
          <w:sz w:val="18"/>
        </w:rPr>
        <w:t>Girard WS et al.  ·  Crit Care Explor  ·  01.09.2026  ·  PMID 42726203</w:t>
      </w:r>
    </w:p>
    <w:p>
      <w:r>
        <w:t>Retrospektive Kohortenstudie zu Vasopressoranwendung bei sepsierten Patienten in zwei Hochseuchenlastkliniken Ostafrikas mit Analyse der Behandlungsmuster.</w:t>
      </w:r>
    </w:p>
    <w:p>
      <w:r>
        <w:rPr>
          <w:b/>
        </w:rPr>
        <w:t xml:space="preserve">Ergebnis: </w:t>
      </w:r>
      <w:r>
        <w:t>Von 471 Septikämie-Patienten erhielten 24% (n=113) Vasopressoren; erhöhte UVA-Mortalitätsrisikoscores waren der stärkste Prädiktor für Vasopressoranwendung (adjustiertes OR 1,25; 95%-KI 1,14-1,27; p&lt;0,001); Sterblichkeit lag bei 30% (n=139).</w:t>
      </w:r>
    </w:p>
    <w:p>
      <w:r>
        <w:rPr>
          <w:b/>
          <w:sz w:val="19"/>
        </w:rPr>
        <w:t xml:space="preserve">Übertragbarkeit: </w:t>
      </w:r>
      <w:r>
        <w:rPr>
          <w:sz w:val="19"/>
        </w:rPr>
        <w:t>Uganda/Ruanda - Limitierte Ressourcen, aber Sepsismanagement relevant für alle Kontexte.</w:t>
      </w:r>
    </w:p>
    <w:p>
      <w:r>
        <w:rPr>
          <w:color w:val="5A7D3A"/>
          <w:sz w:val="18"/>
        </w:rPr>
        <w:t>https://pubmed.ncbi.nlm.nih.gov/42726203/</w:t>
      </w:r>
    </w:p>
    <w:p>
      <w:pPr>
        <w:pStyle w:val="Heading2"/>
      </w:pPr>
      <w:r>
        <w:t>Cefiderocol-Resistenztrends bei carbapenemresistenter Klebsiella pneumoniae vor klinischer Einführung</w:t>
      </w:r>
    </w:p>
    <w:p>
      <w:r>
        <w:rPr>
          <w:i/>
          <w:color w:val="666666"/>
          <w:sz w:val="18"/>
        </w:rPr>
        <w:t>Wang M et al.  ·  Front Cell Infect Microbiol  ·  27.08.2026  ·  PMID 42723943</w:t>
      </w:r>
    </w:p>
    <w:p>
      <w:r>
        <w:t>Retrospektive Analyse von 83 carbapenemresistenten K.-pneumoniae-Isolaten aus Blutkultur-Episoden eines chinesischen Tertiärkrankenhauses mit Cefiderocol-MIC-Bestimmung und genomischer Charakterisierung.</w:t>
      </w:r>
    </w:p>
    <w:p>
      <w:r>
        <w:rPr>
          <w:b/>
        </w:rPr>
        <w:t xml:space="preserve">Ergebnis: </w:t>
      </w:r>
      <w:r>
        <w:t>83,1% der Isolate waren nach CLSI-Kriterien Cefiderocol-empfindlich; MIC50 4 mg/L, MIC90 8 mg/L; 41% erfüllten Reduziertempfindlichkeitskriterien; ST11-Klone mit KL47/KL64 zeigten höhere MICs; bla_NDM-1 und Virulenzplasmide waren mit reduzierter Empfindlichkeit assoziiert.</w:t>
      </w:r>
    </w:p>
    <w:p>
      <w:r>
        <w:rPr>
          <w:b/>
          <w:sz w:val="19"/>
        </w:rPr>
        <w:t xml:space="preserve">Übertragbarkeit: </w:t>
      </w:r>
      <w:r>
        <w:rPr>
          <w:sz w:val="19"/>
        </w:rPr>
        <w:t>China, aber Resistenzmuster und Baseline vor Arzneimittelexposition international relevant.</w:t>
      </w:r>
    </w:p>
    <w:p>
      <w:r>
        <w:rPr>
          <w:color w:val="5A7D3A"/>
          <w:sz w:val="18"/>
        </w:rPr>
        <w:t>https://pubmed.ncbi.nlm.nih.gov/42723943/</w:t>
      </w:r>
    </w:p>
    <w:p>
      <w:pPr>
        <w:pStyle w:val="Heading2"/>
      </w:pPr>
      <w:r>
        <w:t>Schnelle Diagnostik von Blutkultur-Infektionen spart Leben und Kosten</w:t>
      </w:r>
    </w:p>
    <w:p>
      <w:r>
        <w:rPr>
          <w:i/>
          <w:color w:val="666666"/>
          <w:sz w:val="18"/>
        </w:rPr>
        <w:t>Karichu JK et al.  ·  J Med Econ  ·  10.09.2026  ·  PMID 42720132</w:t>
      </w:r>
    </w:p>
    <w:p>
      <w:r>
        <w:t>Budget-Impact-Analyse für England und USA zur Vorhersage der Kosteneffektivität von molekularen Schnelltests zur Pathogenerkennung bei Septikämien von 2025–2029.</w:t>
      </w:r>
    </w:p>
    <w:p>
      <w:r>
        <w:rPr>
          <w:b/>
        </w:rPr>
        <w:t xml:space="preserve">Ergebnis: </w:t>
      </w:r>
      <w:r>
        <w:t>In England 927000 BSI-Fälle vorhergesagt; Einsatz von Cobas Eplex BCID würde 1864 Leben retten und über £40 Millionen einsparen; in den USA 6882 Leben gerettet und über $450 Millionen Ersparnis; schnellere Pathogenidentifikation ermöglicht frühere Therapieoptimierung.</w:t>
      </w:r>
    </w:p>
    <w:p>
      <w:r>
        <w:rPr>
          <w:b/>
          <w:sz w:val="19"/>
        </w:rPr>
        <w:t xml:space="preserve">Übertragbarkeit: </w:t>
      </w:r>
      <w:r>
        <w:rPr>
          <w:sz w:val="19"/>
        </w:rPr>
        <w:t>England und USA, aber Technologie und Kostenperspektive relevant für deutsche Gesundheitssysteme.</w:t>
      </w:r>
    </w:p>
    <w:p>
      <w:r>
        <w:rPr>
          <w:color w:val="5A7D3A"/>
          <w:sz w:val="18"/>
        </w:rPr>
        <w:t>https://pubmed.ncbi.nlm.nih.gov/42720132/</w:t>
      </w:r>
    </w:p>
    <w:p>
      <w:pPr>
        <w:pStyle w:val="Heading2"/>
      </w:pPr>
      <w:r>
        <w:t>Hochgradige Transaminasenerhöhung ohne Hyperbilirubinämie: Unterschätzte Mortalitätsprognose</w:t>
      </w:r>
    </w:p>
    <w:p>
      <w:r>
        <w:rPr>
          <w:i/>
          <w:color w:val="666666"/>
          <w:sz w:val="18"/>
        </w:rPr>
        <w:t>Chalasani N et al.  ·  Clin Pharmacol Ther  ·  25.07.2026  ·  PMID 42502235</w:t>
      </w:r>
    </w:p>
    <w:p>
      <w:r>
        <w:t>Analyse von zwei Registern (DILIN und spanisches DILI-Register) mit insgesamt 964 Patienten zur prognostischen Bedeutung sehr hoher Transaminasen bei niedrig-normalem Bilirubin für druginduzierten Leberschaden.</w:t>
      </w:r>
    </w:p>
    <w:p>
      <w:r>
        <w:rPr>
          <w:b/>
        </w:rPr>
        <w:t xml:space="preserve">Ergebnis: </w:t>
      </w:r>
      <w:r>
        <w:t>Bei sehr hohem ALT und normalem Bilirubin entwickelten nur 1,3% die nR-basierte Hy's Law; minimale Bilirubinerhöhung erhöhte Risiko markant (OR 7,8); besonders hohe Transaminasen (&gt;1000 U/L) mit minimalen Bilirubinwerten hatten höchstes Risiko (OR 23,6).</w:t>
      </w:r>
    </w:p>
    <w:p>
      <w:r>
        <w:rPr>
          <w:b/>
          <w:sz w:val="19"/>
        </w:rPr>
        <w:t xml:space="preserve">Übertragbarkeit: </w:t>
      </w:r>
      <w:r>
        <w:rPr>
          <w:sz w:val="19"/>
        </w:rPr>
        <w:t>USA/Spanien, aber Befunde zur Prognoseeinschätzung unabhängig von Haftungskontext.</w:t>
      </w:r>
    </w:p>
    <w:p>
      <w:r>
        <w:rPr>
          <w:color w:val="5A7D3A"/>
          <w:sz w:val="18"/>
        </w:rPr>
        <w:t>https://pubmed.ncbi.nlm.nih.gov/42502235/</w:t>
      </w:r>
    </w:p>
    <w:p>
      <w:pPr>
        <w:pStyle w:val="Heading2"/>
      </w:pPr>
      <w:r>
        <w:t>Unbeabsichtigte Medikamentendiskrepanzen in Übergangsphasen: Überprüfungsfehler als Hauptursache</w:t>
      </w:r>
    </w:p>
    <w:p>
      <w:r>
        <w:rPr>
          <w:i/>
          <w:color w:val="666666"/>
          <w:sz w:val="18"/>
        </w:rPr>
        <w:t>Limmen B et al.  ·  Int J Clin Pharm  ·  18.07.2026  ·  PMID 42470584</w:t>
      </w:r>
    </w:p>
    <w:p>
      <w:r>
        <w:t>Analyse von 992 freiwillig gemeldeten Medikamentenzwischenfällen in Übergangsphasen aus niederländischen Krankenhäusern zur Identifikation der Ursachen von unbeabsichtigten Medikamentendiskrepanzen.</w:t>
      </w:r>
    </w:p>
    <w:p>
      <w:r>
        <w:rPr>
          <w:b/>
        </w:rPr>
        <w:t xml:space="preserve">Ergebnis: </w:t>
      </w:r>
      <w:r>
        <w:t>94% der Zwischenfälle waren menschliche Fehler, davon 49,6% Überprüfungsfehler und 24,8% Interventionsfehler; 74,1% erreichten den Patienten; Omissionen waren die häufigsten Diskrepanztypen (36,2%); kardiovaskuläre Medikamente am häufigsten betroffen (24,9%).</w:t>
      </w:r>
    </w:p>
    <w:p>
      <w:r>
        <w:rPr>
          <w:b/>
          <w:sz w:val="19"/>
        </w:rPr>
        <w:t xml:space="preserve">Übertragbarkeit: </w:t>
      </w:r>
      <w:r>
        <w:rPr>
          <w:sz w:val="19"/>
        </w:rPr>
        <w:t>Niederlande, vergleichbares Versicherungssystem und Dokumentationspflichten.</w:t>
      </w:r>
    </w:p>
    <w:p>
      <w:r>
        <w:rPr>
          <w:color w:val="5A7D3A"/>
          <w:sz w:val="18"/>
        </w:rPr>
        <w:t>https://pubmed.ncbi.nlm.nih.gov/42470584/</w:t>
      </w:r>
    </w:p>
    <w:p>
      <w:pPr>
        <w:pStyle w:val="Heading1"/>
      </w:pPr>
      <w:r>
        <w:t>Aufgenommen am 12.09.2026</w:t>
      </w:r>
    </w:p>
    <w:p>
      <w:pPr>
        <w:pStyle w:val="Heading2"/>
      </w:pPr>
      <w:r>
        <w:t>Ungeeignete Arzneimittelkaskaden in älteren Erwachsenen: Priorisierung nach Epidemiologie und Assoziationsstärke</w:t>
      </w:r>
    </w:p>
    <w:p>
      <w:r>
        <w:rPr>
          <w:i/>
          <w:color w:val="666666"/>
          <w:sz w:val="18"/>
        </w:rPr>
        <w:t>Rochon PA et al.  ·  BMJ  ·  10.09.2026  ·  PMID 42727946</w:t>
      </w:r>
    </w:p>
    <w:p>
      <w:r>
        <w:t>Bevölkerungsbasierte Analyse administrativer Daten zur Identifikation potenziell unerwünschter Verschreibungskaskaden in der älteren kanadischen Bevölkerung mit systematischer Priorisierung.</w:t>
      </w:r>
    </w:p>
    <w:p>
      <w:r>
        <w:rPr>
          <w:b/>
        </w:rPr>
        <w:t xml:space="preserve">Ergebnis: </w:t>
      </w:r>
      <w:r>
        <w:t>24 von 65 untersuchten Kaskaden erfüllten Priorisierungskriterien (Prävalenz ≥5%, Inzidenz ≥1%, angepasste Sequenzratio &gt;1). Höchste Inzidenzen: Eisen-zu-Laxans 11,9%, Statine-zu-Schmerzmittel 10,9%, Cholinesterase-Inhibitor-zu-Schlafmittel 10,3%. Stärkste zeitliche Assoziationen: Kortikosteroid-zu-Antipsychotika RR 2,55, Laxans-zu-Antidiarrhöika RR 2,53.</w:t>
      </w:r>
    </w:p>
    <w:p>
      <w:r>
        <w:rPr>
          <w:b/>
          <w:sz w:val="19"/>
        </w:rPr>
        <w:t xml:space="preserve">Übertragbarkeit: </w:t>
      </w:r>
      <w:r>
        <w:rPr>
          <w:sz w:val="19"/>
        </w:rPr>
        <w:t>Kanada, vergleichbarer Versicherungskontext, Deprescribing-Ansätze übertragbar</w:t>
      </w:r>
    </w:p>
    <w:p>
      <w:r>
        <w:rPr>
          <w:color w:val="5A7D3A"/>
          <w:sz w:val="18"/>
        </w:rPr>
        <w:t>https://pubmed.ncbi.nlm.nih.gov/42727946/</w:t>
      </w:r>
    </w:p>
    <w:p>
      <w:pPr>
        <w:pStyle w:val="Heading2"/>
      </w:pPr>
      <w:r>
        <w:t>Chirurgische Wundinfektionen in Frankreich: Systemische Analyse von Häufigkeit, Kosten und Wiederaufnahmen</w:t>
      </w:r>
    </w:p>
    <w:p>
      <w:r>
        <w:rPr>
          <w:i/>
          <w:color w:val="666666"/>
          <w:sz w:val="18"/>
        </w:rPr>
        <w:t>Aragno VA et al.  ·  Inquiry  ·  11.09.2026  ·  PMID 42727077</w:t>
      </w:r>
    </w:p>
    <w:p>
      <w:r>
        <w:t>Retrospektive Analyse der französischen Krankenversicherungsdatenbank zu Häufigkeit und Kostenfolgen von Wundkomplikationen nach elektiven Operationen in vier Fachgebieten.</w:t>
      </w:r>
    </w:p>
    <w:p>
      <w:r>
        <w:rPr>
          <w:b/>
        </w:rPr>
        <w:t xml:space="preserve">Ergebnis: </w:t>
      </w:r>
      <w:r>
        <w:t>Infektionsraten (SSI) ranged 0.44 % (orthopädisch) to 3.09 % (Magen-Darm); Herzchirurgie zeigte höchste Komplikationsrate 14,91 %. Wundkomplikationen führten zu 11–28 zusätzlichen Hospitalisierungstagen und 6.622–22.109 Euro Mehrkosten pro Fall; Wiederaufnahmen insgesamt 840 Mio. Euro Belastung pro Jahr. Vergleichbare administrative Datenqualität zu Deutschland.</w:t>
      </w:r>
    </w:p>
    <w:p>
      <w:r>
        <w:rPr>
          <w:b/>
          <w:sz w:val="19"/>
        </w:rPr>
        <w:t xml:space="preserve">Übertragbarkeit: </w:t>
      </w:r>
      <w:r>
        <w:rPr>
          <w:sz w:val="19"/>
        </w:rPr>
        <w:t>Frankreich, vergleichbare Sozialversicherung, PMSI-Datensatz ähnlich Fallpauschalensystem</w:t>
      </w:r>
    </w:p>
    <w:p>
      <w:r>
        <w:rPr>
          <w:color w:val="5A7D3A"/>
          <w:sz w:val="18"/>
        </w:rPr>
        <w:t>https://pubmed.ncbi.nlm.nih.gov/42727077/</w:t>
      </w:r>
    </w:p>
    <w:p>
      <w:pPr>
        <w:pStyle w:val="Heading2"/>
      </w:pPr>
      <w:r>
        <w:t>Multiresistente Blutstrominfektion bei Kindern mit Hochrisiko-Leukämie: Levofloxacin-Prophylaxe und Resistenzentwicklung</w:t>
      </w:r>
    </w:p>
    <w:p>
      <w:r>
        <w:rPr>
          <w:i/>
          <w:color w:val="666666"/>
          <w:sz w:val="18"/>
        </w:rPr>
        <w:t>Alsabagh M et al.  ·  Pol Merkur Lekarski  ·  2026  ·  PMID 42726826</w:t>
      </w:r>
    </w:p>
    <w:p>
      <w:r>
        <w:t>Retrospektive Kohortenstudie zum Vergleich von multiresistenter Kolonisation und Blutstrominfektion bei intensiv chemotherapierten Kindern mit und ohne Fluorchinolon-Prophylaxe.</w:t>
      </w:r>
    </w:p>
    <w:p>
      <w:r>
        <w:rPr>
          <w:b/>
        </w:rPr>
        <w:t xml:space="preserve">Ergebnis: </w:t>
      </w:r>
      <w:r>
        <w:t>82 Kinder (67,1% männlich), medianes Alter 10 Jahre. Febrile Neutropenie in 89,3% der Zyklen. Fluorchinolon-Empfindlichkeit niedrig: 16% bei rektalen und 11,8% bei Blutkultur-Isolaten, abnehmend über Zyklen. Mortalität assoziiert mit multiresistenter Klebsiella pneumoniae und Fluorchinolon-Resistenz. Routine-Levofloxacin-Prophylaxe bietet begrenzte Vorteile.</w:t>
      </w:r>
    </w:p>
    <w:p>
      <w:r>
        <w:rPr>
          <w:b/>
          <w:sz w:val="19"/>
        </w:rPr>
        <w:t xml:space="preserve">Übertragbarkeit: </w:t>
      </w:r>
      <w:r>
        <w:rPr>
          <w:sz w:val="19"/>
        </w:rPr>
        <w:t>Ägypten, Antibiotic-Stewardship-Problem international relevant</w:t>
      </w:r>
    </w:p>
    <w:p>
      <w:r>
        <w:rPr>
          <w:color w:val="5A7D3A"/>
          <w:sz w:val="18"/>
        </w:rPr>
        <w:t>https://pubmed.ncbi.nlm.nih.gov/42726826/</w:t>
      </w:r>
    </w:p>
    <w:p>
      <w:pPr>
        <w:pStyle w:val="Heading2"/>
      </w:pPr>
      <w:r>
        <w:t>Multizentrischer Ausbruch durch Candida viswanathii in kontaminiertem Milrinon, Italien 2025</w:t>
      </w:r>
    </w:p>
    <w:p>
      <w:r>
        <w:rPr>
          <w:i/>
          <w:color w:val="666666"/>
          <w:sz w:val="18"/>
        </w:rPr>
        <w:t>Mesini A et al.  ·  Euro Surveill  ·  Sept. 2026  ·  PMID 42725369</w:t>
      </w:r>
    </w:p>
    <w:p>
      <w:r>
        <w:t>Epidemiologische Untersuchung eines Ausbruchs von Blutstrominfektion durch ein seltenes Hefepilz-Medikament-assoziiert nach hypothesengestützter Ermittlung.</w:t>
      </w:r>
    </w:p>
    <w:p>
      <w:r>
        <w:rPr>
          <w:b/>
        </w:rPr>
        <w:t xml:space="preserve">Ergebnis: </w:t>
      </w:r>
      <w:r>
        <w:t>40 Fälle von Kandidämie in vier italienischen Zentren, April–Oktober 2025, alle durch kontaminiertes Milrinon verursacht. Starke geografische Assoziation mit indischem Subkontinent führte zur Identifikation des Infektionsöls. Sofortige Maßnahmen: Produktrückzug, Benachrichtigung der Behörden, aktive mikrobiologische Überwachung exponierter Patienten.</w:t>
      </w:r>
    </w:p>
    <w:p>
      <w:r>
        <w:rPr>
          <w:b/>
          <w:sz w:val="19"/>
        </w:rPr>
        <w:t xml:space="preserve">Übertragbarkeit: </w:t>
      </w:r>
      <w:r>
        <w:rPr>
          <w:sz w:val="19"/>
        </w:rPr>
        <w:t>Europa-Italien, klinische Ausbruchserkennung und Pharmakovigilanz übertragbar</w:t>
      </w:r>
    </w:p>
    <w:p>
      <w:r>
        <w:rPr>
          <w:color w:val="5A7D3A"/>
          <w:sz w:val="18"/>
        </w:rPr>
        <w:t>https://pubmed.ncbi.nlm.nih.gov/42725369/</w:t>
      </w:r>
    </w:p>
    <w:p>
      <w:pPr>
        <w:pStyle w:val="Heading2"/>
      </w:pPr>
      <w:r>
        <w:t>Aufbereitung chirurgischer Instrumente in Katastrophenfällen: Barrieren, Lücken und Handlungsoptionen</w:t>
      </w:r>
    </w:p>
    <w:p>
      <w:r>
        <w:rPr>
          <w:i/>
          <w:color w:val="666666"/>
          <w:sz w:val="18"/>
        </w:rPr>
        <w:t>Nematollahi MS et al.  ·  Antimicrob Resist Infect Control  ·  28.08.2026  ·  PMID 42723127</w:t>
      </w:r>
    </w:p>
    <w:p>
      <w:r>
        <w:t>Systematischer Review zu Vulnerabilitäten, Barrieren und adaptiven Strategien bei der Sterilisation wiederverwendbarer Instrumente während Infektionsausbrüchen und Katastrophen.</w:t>
      </w:r>
    </w:p>
    <w:p>
      <w:r>
        <w:rPr>
          <w:b/>
        </w:rPr>
        <w:t xml:space="preserve">Ergebnis: </w:t>
      </w:r>
      <w:r>
        <w:t>11 Studien aus neun Ländern. Wiederkehrende Barrieren: unvollständige Reinigung, mangelhafte Lumen-Dekontamination, Geräteausfälle, kontaminierte Wasser-/Spülsysteme, begrenzte Notfallvorbereitung, Personalengpässe, fehlende Instrumentenverfolgung. Adaptive Strategien: standardisierte Reinigungsprotokolle, Umgebungsüberwachung, Schulung, mobile/Container-Sterilisationskapazität, Notfall-Aufbereitungskonzepte. Herausforderungen sind operational-infrastrukturell, nicht isoliert technisch.</w:t>
      </w:r>
    </w:p>
    <w:p>
      <w:r>
        <w:rPr>
          <w:b/>
          <w:sz w:val="19"/>
        </w:rPr>
        <w:t xml:space="preserve">Übertragbarkeit: </w:t>
      </w:r>
      <w:r>
        <w:rPr>
          <w:sz w:val="19"/>
        </w:rPr>
        <w:t>Internationale Evidenz aus Ausbruchsuntersuchungen, auf Deutschland übertragbar</w:t>
      </w:r>
    </w:p>
    <w:p>
      <w:r>
        <w:rPr>
          <w:color w:val="5A7D3A"/>
          <w:sz w:val="18"/>
        </w:rPr>
        <w:t>https://pubmed.ncbi.nlm.nih.gov/42723127/</w:t>
      </w:r>
    </w:p>
    <w:p>
      <w:pPr>
        <w:pStyle w:val="Heading2"/>
      </w:pPr>
      <w:r>
        <w:t>CXCL10-Genotyp rs8878 und T-Zell-Erhalt im Sepsis-Verlauf: Biomarker für Risikostratifizierung</w:t>
      </w:r>
    </w:p>
    <w:p>
      <w:r>
        <w:rPr>
          <w:i/>
          <w:color w:val="666666"/>
          <w:sz w:val="18"/>
        </w:rPr>
        <w:t>Dyck B et al.  ·  Front Immunol  ·  17.07.2026  ·  PMID 42540005</w:t>
      </w:r>
    </w:p>
    <w:p>
      <w:r>
        <w:t>Prospektive Kohortenstudie zu Assoziation des CXCL10-Genotyps mit T-Lymphozyten-Homöostase und 30-Tage-Mortalität bei Sepsis-Patienten in Deutschland.</w:t>
      </w:r>
    </w:p>
    <w:p>
      <w:r>
        <w:rPr>
          <w:b/>
        </w:rPr>
        <w:t xml:space="preserve">Ergebnis: </w:t>
      </w:r>
      <w:r>
        <w:t>278 sepsis-Patienten untersucht. AA-Genotyp-Träger hatten höhere zirkulierende T-Zell-Zahlen und verbesserte Überlebenschancen vs. G-Allel-Träger. Höhere Gesamt- und CD8+-T-Zell-Zahlen signifikant mit verbessertem Überleben assoziiert. CXCL10-Konzentrationen Tag 1 positiv mit IL-6, IL-8, IL-10, IL-18, MCP-1, IFN-γ korreliert, invers mit T-Zell-Zahlen. AA-Genotyp prädiktiv für bessere 30-Tage-Überlebenschance.</w:t>
      </w:r>
    </w:p>
    <w:p>
      <w:r>
        <w:rPr>
          <w:b/>
          <w:sz w:val="19"/>
        </w:rPr>
        <w:t xml:space="preserve">Übertragbarkeit: </w:t>
      </w:r>
      <w:r>
        <w:rPr>
          <w:sz w:val="19"/>
        </w:rPr>
        <w:t>Deutschland, Ruhr-Universität Bochum, direkt auf deutsches Patientenkollektiv anwendbar</w:t>
      </w:r>
    </w:p>
    <w:p>
      <w:r>
        <w:rPr>
          <w:color w:val="5A7D3A"/>
          <w:sz w:val="18"/>
        </w:rPr>
        <w:t>https://pubmed.ncbi.nlm.nih.gov/42540005/</w:t>
      </w:r>
    </w:p>
    <w:p>
      <w:pPr>
        <w:pStyle w:val="Heading1"/>
      </w:pPr>
      <w:r>
        <w:t>Aufgenommen am 11.09.2026</w:t>
      </w:r>
    </w:p>
    <w:p>
      <w:pPr>
        <w:pStyle w:val="Heading2"/>
      </w:pPr>
      <w:r>
        <w:t>Rapid diagnostik senkt Zeitspanne bei Gram-negativer Sepsis um 14-19 Stunden</w:t>
      </w:r>
    </w:p>
    <w:p>
      <w:r>
        <w:rPr>
          <w:i/>
          <w:color w:val="666666"/>
          <w:sz w:val="18"/>
        </w:rPr>
        <w:t>Benyahia M et al.  ·  PLoS One  ·  10.09.2026  ·  PMID 42721154</w:t>
      </w:r>
    </w:p>
    <w:p>
      <w:r>
        <w:t>Prospektive Studie zur Beschleunigung der Diagnostik bei Gram-negativen Blutstrominfektionen auf Intensivstationen mit molekularen und schnellen Empfindlichkeitsmethoden.</w:t>
      </w:r>
    </w:p>
    <w:p>
      <w:r>
        <w:rPr>
          <w:b/>
        </w:rPr>
        <w:t xml:space="preserve">Ergebnis: </w:t>
      </w:r>
      <w:r>
        <w:t>BioFire BCID2 und Vitek REVEAL reduzierten die Identifikationszeit um 19,0 Stunden und die Empfindlichkeitstestung um 14,9 Stunden bei 50 ICU-Patienten mit Monomikrobium-Infektionen; kategoriale Übereinstimmung mit Standardmethoden 97,7%.</w:t>
      </w:r>
    </w:p>
    <w:p>
      <w:r>
        <w:rPr>
          <w:b/>
          <w:sz w:val="19"/>
        </w:rPr>
        <w:t xml:space="preserve">Übertragbarkeit: </w:t>
      </w:r>
      <w:r>
        <w:rPr>
          <w:sz w:val="19"/>
        </w:rPr>
        <w:t>Frankreich, vergleichbares Dokumentationssystem in der Intensivmedizin</w:t>
      </w:r>
    </w:p>
    <w:p>
      <w:r>
        <w:rPr>
          <w:color w:val="5A7D3A"/>
          <w:sz w:val="18"/>
        </w:rPr>
        <w:t>https://pubmed.ncbi.nlm.nih.gov/42721154/</w:t>
      </w:r>
    </w:p>
    <w:p>
      <w:pPr>
        <w:pStyle w:val="Heading2"/>
      </w:pPr>
      <w:r>
        <w:t>Albuminmangel nach E.-coli-Sepsis erhöht Sterblichkeit um 10-fach bei Kindern</w:t>
      </w:r>
    </w:p>
    <w:p>
      <w:r>
        <w:rPr>
          <w:i/>
          <w:color w:val="666666"/>
          <w:sz w:val="18"/>
        </w:rPr>
        <w:t>Cheng J et al.  ·  Ann Med  ·  10.09.2026  ·  PMID 42720514</w:t>
      </w:r>
    </w:p>
    <w:p>
      <w:r>
        <w:t>Retrospektive Kohortenstudie zu Prädiktoren der Krankenhaus-Sterblichkeit bei Kindern mit E.-coli-Blutstrominfektionen, fokussiert auf post-infektiven Albuminmangel.</w:t>
      </w:r>
    </w:p>
    <w:p>
      <w:r>
        <w:rPr>
          <w:b/>
        </w:rPr>
        <w:t xml:space="preserve">Ergebnis: </w:t>
      </w:r>
      <w:r>
        <w:t>Bei 211 Kindern mit E.-coli-Sepsis betrug die Sterblichkeit 12,32%; sekundärer Albuminmangel war nach Kontrolle für Beatmung, PRISM-Score und Zeit bis Nachweis mit Odds Ratio 10,59 (95% KI 1,39-80,91; p&lt;0,05) unabhängig mit Mortalität assoziiert.</w:t>
      </w:r>
    </w:p>
    <w:p>
      <w:r>
        <w:rPr>
          <w:b/>
          <w:sz w:val="19"/>
        </w:rPr>
        <w:t xml:space="preserve">Übertragbarkeit: </w:t>
      </w:r>
      <w:r>
        <w:rPr>
          <w:sz w:val="19"/>
        </w:rPr>
        <w:t>China, außereuropäisch; Struktur der Risikostratifizierung übertragbar</w:t>
      </w:r>
    </w:p>
    <w:p>
      <w:r>
        <w:rPr>
          <w:color w:val="5A7D3A"/>
          <w:sz w:val="18"/>
        </w:rPr>
        <w:t>https://pubmed.ncbi.nlm.nih.gov/42720514/</w:t>
      </w:r>
    </w:p>
    <w:p>
      <w:pPr>
        <w:pStyle w:val="Heading2"/>
      </w:pPr>
      <w:r>
        <w:t>Klinische Antibiotikatiming bei Sepsis folgt Zwei-Achsen-Muster</w:t>
      </w:r>
    </w:p>
    <w:p>
      <w:r>
        <w:rPr>
          <w:i/>
          <w:color w:val="666666"/>
          <w:sz w:val="18"/>
        </w:rPr>
        <w:t>Currey D et al.  ·  Crit Care Explor  ·  01.09.2026  ·  PMID 42720074</w:t>
      </w:r>
    </w:p>
    <w:p>
      <w:r>
        <w:t>Retrospektive Observationsstudie mit maschinellem Lernen zur Validierung eines Dual-Achsen-Modells für Antibiotikatiming bei Verdacht auf Sepsis in 199.062 Notaufnahmen.</w:t>
      </w:r>
    </w:p>
    <w:p>
      <w:r>
        <w:rPr>
          <w:b/>
        </w:rPr>
        <w:t xml:space="preserve">Ergebnis: </w:t>
      </w:r>
      <w:r>
        <w:t>Bei 115.152 Notaufnahmen validiert: Antibiotikatiming folgt kontinuierlichem Gradienten mit Wahrscheinlichkeit von Infektion und physiologischem Schweregrad (Interaktion p=0,0013); verzögertes Timing über Erwartung hinaus assoziiert mit erhöhter 3-Tage-ICU-Rate oder Sterblichkeit (p&lt;0,001).</w:t>
      </w:r>
    </w:p>
    <w:p>
      <w:r>
        <w:rPr>
          <w:b/>
          <w:sz w:val="19"/>
        </w:rPr>
        <w:t xml:space="preserve">Übertragbarkeit: </w:t>
      </w:r>
      <w:r>
        <w:rPr>
          <w:sz w:val="19"/>
        </w:rPr>
        <w:t>USA, aber Sicherheitsbefund zur Entscheidungsfindung unabhängig von System</w:t>
      </w:r>
    </w:p>
    <w:p>
      <w:r>
        <w:rPr>
          <w:color w:val="5A7D3A"/>
          <w:sz w:val="18"/>
        </w:rPr>
        <w:t>https://pubmed.ncbi.nlm.nih.gov/42720074/</w:t>
      </w:r>
    </w:p>
    <w:p>
      <w:pPr>
        <w:pStyle w:val="Heading2"/>
      </w:pPr>
      <w:r>
        <w:t>Ärztliche Entwertung – systematische Definition eines Sicherheitsrisikos</w:t>
      </w:r>
    </w:p>
    <w:p>
      <w:r>
        <w:rPr>
          <w:i/>
          <w:color w:val="666666"/>
          <w:sz w:val="18"/>
        </w:rPr>
        <w:t>Lerch SP et al.  ·  BMC Health Serv Res  ·  08.09.2026  ·  PMID 42717341</w:t>
      </w:r>
    </w:p>
    <w:p>
      <w:r>
        <w:t>Scoping Review zur Begriffsklärung, Messung, Ursachen und Folgen von ärztlicher Entwertung und medizinischem Gaslighting anhand von 158 wissenschaftlichen Arbeiten.</w:t>
      </w:r>
    </w:p>
    <w:p>
      <w:r>
        <w:rPr>
          <w:b/>
        </w:rPr>
        <w:t xml:space="preserve">Ergebnis: </w:t>
      </w:r>
      <w:r>
        <w:t>Erhebliche Inkonsistenz in Definitionen von Entwertung, Nichternstnehmen und Gaslighting; Phänomen ist multifaktoriell (diagnostische Schwierigkeiten, strukturelle Faktoren, Stigma, Wissenlücken); assoziiert mit Verhaltens-, emotionalen, kognitiven, körperlichen und systemischen Schäden; Validierung und Interventionen auf mehreren Ebenen erforderlich.</w:t>
      </w:r>
    </w:p>
    <w:p>
      <w:r>
        <w:rPr>
          <w:b/>
          <w:sz w:val="19"/>
        </w:rPr>
        <w:t xml:space="preserve">Übertragbarkeit: </w:t>
      </w:r>
      <w:r>
        <w:rPr>
          <w:sz w:val="19"/>
        </w:rPr>
        <w:t>Deutschland (Autorin Greifswald), hohes Transferpotenzial für Patientensicherheitsforschung</w:t>
      </w:r>
    </w:p>
    <w:p>
      <w:r>
        <w:rPr>
          <w:color w:val="5A7D3A"/>
          <w:sz w:val="18"/>
        </w:rPr>
        <w:t>https://pubmed.ncbi.nlm.nih.gov/42717341/</w:t>
      </w:r>
    </w:p>
    <w:p>
      <w:pPr>
        <w:pStyle w:val="Heading2"/>
      </w:pPr>
      <w:r>
        <w:t>Antimikrobielles Stewardship für ältere Sepsis-Patienten – Pfad für Ressourcen-begrenzte Länder</w:t>
      </w:r>
    </w:p>
    <w:p>
      <w:r>
        <w:rPr>
          <w:i/>
          <w:color w:val="666666"/>
          <w:sz w:val="18"/>
        </w:rPr>
        <w:t>Jing L et al.  ·  J Infect Dev Ctries  ·  31.08.2026  ·  PMID 42715272</w:t>
      </w:r>
    </w:p>
    <w:p>
      <w:r>
        <w:t>Retrospektive Kohortenstudie zu Gram-negativer Sepsis bei 122 älteren Patienten in Shanghai mit Ziel, einen kosteneffizienten, lokale Resistenzprofile berücksichtigenden Behandlungspfad zu entwickeln.</w:t>
      </w:r>
    </w:p>
    <w:p>
      <w:r>
        <w:rPr>
          <w:b/>
        </w:rPr>
        <w:t xml:space="preserve">Ergebnis: </w:t>
      </w:r>
      <w:r>
        <w:t>Gram-negative Keime dominierten (54,9%); 28-Tage-Mortalität 37,7%; Cefoperazon-Sulbactam-Empfindlichkeit 85,0%; unabhängige Mortalitätsprädiktoren waren Alter (aOR 1,10 pro Jahr), ICU-Aufnahme (aOR 6,65), Beatmung (aOR 5,78), Dialyse (aOR 3,62); entwickelter Karbapenem-sparender Pfad für Stewardship.</w:t>
      </w:r>
    </w:p>
    <w:p>
      <w:r>
        <w:rPr>
          <w:b/>
          <w:sz w:val="19"/>
        </w:rPr>
        <w:t xml:space="preserve">Übertragbarkeit: </w:t>
      </w:r>
      <w:r>
        <w:rPr>
          <w:sz w:val="19"/>
        </w:rPr>
        <w:t>China, aber Prinzipien zu lokalen Resistenzmustern und Stewardship international übertragbar</w:t>
      </w:r>
    </w:p>
    <w:p>
      <w:r>
        <w:rPr>
          <w:color w:val="5A7D3A"/>
          <w:sz w:val="18"/>
        </w:rPr>
        <w:t>https://pubmed.ncbi.nlm.nih.gov/42715272/</w:t>
      </w:r>
    </w:p>
    <w:p>
      <w:pPr>
        <w:pStyle w:val="Heading2"/>
      </w:pPr>
      <w:r>
        <w:t>Pflegeausfälle führen zu Strafverurteilungen – zehn Urteile analysiert</w:t>
      </w:r>
    </w:p>
    <w:p>
      <w:r>
        <w:rPr>
          <w:i/>
          <w:color w:val="666666"/>
          <w:sz w:val="18"/>
        </w:rPr>
        <w:t>Noacco M et al.  ·  Int J Nurs Stud  ·  24.07.2026  ·  PMID 42526145</w:t>
      </w:r>
    </w:p>
    <w:p>
      <w:r>
        <w:t>Qualitative Dokumentenanalyse von Urteilen des italienischen Obersten Kasationshofes zu Verurteilungen von Pflegepersonen wegen Verwahrlosung oder Verzögerung bei Pflegeleistungen zwischen 2004 und 2022.</w:t>
      </w:r>
    </w:p>
    <w:p>
      <w:r>
        <w:rPr>
          <w:b/>
        </w:rPr>
        <w:t xml:space="preserve">Ergebnis: </w:t>
      </w:r>
      <w:r>
        <w:t>10 Urteile zwischen Dezember 2004 und Oktober 2022; in 8 Fällen trat Patiententod ein, in 2 Fällen Dauerschäden; häufigste Ausfälle waren unzureichende Vitalzeichenüberwachung, postoperative Versorgung, unzureichende Dokumentation, Vernachlässigung von Basispflege; Ausfälle auf Ebenen von Einzelperson, Station und System identifiziert.</w:t>
      </w:r>
    </w:p>
    <w:p>
      <w:r>
        <w:rPr>
          <w:b/>
          <w:sz w:val="19"/>
        </w:rPr>
        <w:t xml:space="preserve">Übertragbarkeit: </w:t>
      </w:r>
      <w:r>
        <w:rPr>
          <w:sz w:val="19"/>
        </w:rPr>
        <w:t>Italien, anderes Haftungssystem ohne Verschuldensnachweis; Faktoren des Versorgungsausfalls sind relevant</w:t>
      </w:r>
    </w:p>
    <w:p>
      <w:r>
        <w:rPr>
          <w:color w:val="5A7D3A"/>
          <w:sz w:val="18"/>
        </w:rPr>
        <w:t>https://pubmed.ncbi.nlm.nih.gov/42526145/</w:t>
      </w:r>
    </w:p>
    <w:p>
      <w:pPr>
        <w:pStyle w:val="Heading1"/>
      </w:pPr>
      <w:r>
        <w:t>Aufgenommen am 10.09.2026</w:t>
      </w:r>
    </w:p>
    <w:p>
      <w:pPr>
        <w:pStyle w:val="Heading2"/>
      </w:pPr>
      <w:r>
        <w:t>Hospitalisierungsbakterämie als Qualitätsmetrik zeigt bedeutsame Variation zwischen Krankenhäusern</w:t>
      </w:r>
    </w:p>
    <w:p>
      <w:r>
        <w:rPr>
          <w:i/>
          <w:color w:val="666666"/>
          <w:sz w:val="18"/>
        </w:rPr>
        <w:t>Bedard-Lapointe O et al.  ·  JAMA Netw Open  ·  01.09.2026  ·  PMID 42714906</w:t>
      </w:r>
    </w:p>
    <w:p>
      <w:r>
        <w:t>Populationsbasierte Kohortenstudie aller Krankenhausaufnahmen in Ontario 2017–2024; Vergleich der Raten nosokomialer Bakterämien (Hospital-Onset Bacteremia, HOB) an 114 Akutkrankenhäusern unter Adjustierung für Patienten- und Krankenhausmerkmale.</w:t>
      </w:r>
    </w:p>
    <w:p>
      <w:r>
        <w:rPr>
          <w:b/>
        </w:rPr>
        <w:t xml:space="preserve">Ergebnis: </w:t>
      </w:r>
      <w:r>
        <w:t>3.325.900 Aufnahmen, 61.452 HOB-Episoden über 29.721.745 Aufnahmetage, Gesamtrate 2,07 pro 1.000 Aufnahmetage. Über 114 Krankenhäuser deutliche Variation: 10. Perzentil 0,39, 25. Perzentil 0,71, Median 1,08, 75. Perzentil 1,68, 90. Perzentil 2,27 pro 1.000 Aufnahmetage. Random-Intercept für Krankenhäuser SD 0,36 (95%-CI 0,29–0,42), Rate-Ratio 1,43 (95%-CI 1,34–1,52) pro 1 SD. HOB-Rate ein zuverlässiger Qualitätsindikator zur Differenzierung zwischen Kliniken.</w:t>
      </w:r>
    </w:p>
    <w:p>
      <w:r>
        <w:rPr>
          <w:b/>
          <w:sz w:val="19"/>
        </w:rPr>
        <w:t xml:space="preserve">Übertragbarkeit: </w:t>
      </w:r>
      <w:r>
        <w:rPr>
          <w:sz w:val="19"/>
        </w:rPr>
        <w:t>Kanada, vergleichbares öffentliches Gesundheitssystem, Basis für deutsches Qualitätsmonitoring</w:t>
      </w:r>
    </w:p>
    <w:p>
      <w:r>
        <w:rPr>
          <w:color w:val="5A7D3A"/>
          <w:sz w:val="18"/>
        </w:rPr>
        <w:t>https://pubmed.ncbi.nlm.nih.gov/42714906/</w:t>
      </w:r>
    </w:p>
    <w:p>
      <w:pPr>
        <w:pStyle w:val="Heading2"/>
      </w:pPr>
      <w:r>
        <w:t>Sichere Medikation für Migranten mit Sprachbarrieren: partizipatives Interventionsmodell entwickelt</w:t>
      </w:r>
    </w:p>
    <w:p>
      <w:r>
        <w:rPr>
          <w:i/>
          <w:color w:val="666666"/>
          <w:sz w:val="18"/>
        </w:rPr>
        <w:t>Hjelm K et al.  ·  BMC Health Serv Res  ·  07.09.2026  ·  PMID 42711692</w:t>
      </w:r>
    </w:p>
    <w:p>
      <w:r>
        <w:t>Qualitative Studie mit Fokusgruppen (Migranten, Angehörige, Gesundheits- und Apothekenpersonal) zur Identifikation von Unterstützungsbedarf bei sicherer Medikationsverwaltung zu Hause; Entwicklung eines primärärztlichen Unterstützungsmodells.</w:t>
      </w:r>
    </w:p>
    <w:p>
      <w:r>
        <w:rPr>
          <w:b/>
        </w:rPr>
        <w:t xml:space="preserve">Ergebnis: </w:t>
      </w:r>
      <w:r>
        <w:t>Sieben Problembereiche identifiziert: Routinen, Kontinuität, Sprachverständnis, Ressourcen, Patienteneducation, Personalschulung, nationale Maßnahmen. Erforderliche Unterstützung auf allen Ebenen – besonders institutionell und infrastrukturell – sowie in alltäglichen Arzt-Patienten-Interaktionen. Interventionsmodell mit erweitertem interdisziplinärem Team, Angehörigen, Apothekern und erreichbarem Koordinator entwickelt.</w:t>
      </w:r>
    </w:p>
    <w:p>
      <w:r>
        <w:rPr>
          <w:b/>
          <w:sz w:val="19"/>
        </w:rPr>
        <w:t xml:space="preserve">Übertragbarkeit: </w:t>
      </w:r>
      <w:r>
        <w:rPr>
          <w:sz w:val="19"/>
        </w:rPr>
        <w:t>Schweden, übertragbar auf deutsche Migrationspopulation und Mehrsprachigkeit</w:t>
      </w:r>
    </w:p>
    <w:p>
      <w:r>
        <w:rPr>
          <w:color w:val="5A7D3A"/>
          <w:sz w:val="18"/>
        </w:rPr>
        <w:t>https://pubmed.ncbi.nlm.nih.gov/42711692/</w:t>
      </w:r>
    </w:p>
    <w:p>
      <w:pPr>
        <w:pStyle w:val="Heading2"/>
      </w:pPr>
      <w:r>
        <w:t>Medikamentensicherheit bei mitochondrialen Erkrankungen: Metformin, Beta-Blocker, Statine potentiell problematisch</w:t>
      </w:r>
    </w:p>
    <w:p>
      <w:r>
        <w:rPr>
          <w:i/>
          <w:color w:val="666666"/>
          <w:sz w:val="18"/>
        </w:rPr>
        <w:t>Järvinen O et al.  ·  Neurol Sci  ·  06.08.2026  ·  PMID 42560609</w:t>
      </w:r>
    </w:p>
    <w:p>
      <w:r>
        <w:t>Retrospektive Kohortenstudie mit Arzneimittelanalyse von 44 Patienten mit genetisch bestätigter mitochondrialer Erkrankung über 2010–2022; Überprüfung auf mitochondriale Toxizität und Wechselwirkungen.</w:t>
      </w:r>
    </w:p>
    <w:p>
      <w:r>
        <w:rPr>
          <w:b/>
        </w:rPr>
        <w:t xml:space="preserve">Ergebnis: </w:t>
      </w:r>
      <w:r>
        <w:t>~1.000 Medikamenteneinträge überprüft. Häufig verwendete Arzneien mit potentieller mitochondrialer Toxizität identifiziert: Metformin, Beta-Blocker, Statine, Ciprofloxacin, Fluoxetin, Ibuprofen, bestimmte Antiepileptika. Kontraindizierte Medikamente nicht beobachtet; keine Hochrisiko-Wechselwirkungen entdeckt. Klinisch relevant: häufige Analgetika-Nutzung. Schlussfolgerung: Weitere Forschung zu mitochondrialer Sicherheit mehrerer Medikamentenklassen erforderlich; Schmerzmanagement bei mitochondrialen Erkrankungen verdient erhöhte Aufmerksamkeit.</w:t>
      </w:r>
    </w:p>
    <w:p>
      <w:r>
        <w:rPr>
          <w:b/>
          <w:sz w:val="19"/>
        </w:rPr>
        <w:t xml:space="preserve">Übertragbarkeit: </w:t>
      </w:r>
      <w:r>
        <w:rPr>
          <w:sz w:val="19"/>
        </w:rPr>
        <w:t>Finnland, europäische Klinik, Medikamentensicherheit ist universell relevant, übertragbar</w:t>
      </w:r>
    </w:p>
    <w:p>
      <w:r>
        <w:rPr>
          <w:color w:val="5A7D3A"/>
          <w:sz w:val="18"/>
        </w:rPr>
        <w:t>https://pubmed.ncbi.nlm.nih.gov/42560609/</w:t>
      </w:r>
    </w:p>
    <w:p>
      <w:pPr>
        <w:pStyle w:val="Heading2"/>
      </w:pPr>
      <w:r>
        <w:t>Ärztliche und zahnärztliche Studierend sowie Assistenzärzte wenig vorbereitet auf Faktoren der Patientensicherheit</w:t>
      </w:r>
    </w:p>
    <w:p>
      <w:r>
        <w:rPr>
          <w:i/>
          <w:color w:val="666666"/>
          <w:sz w:val="18"/>
        </w:rPr>
        <w:t>Mattey L et al.  ·  Br J Oral Maxillofac Surg  ·  07.03.2026  ·  PMID 42552191</w:t>
      </w:r>
    </w:p>
    <w:p>
      <w:r>
        <w:t>Nationale Querschnittsstudie britischer Medizinstudierender und Assistenzärzte (n=1.274) zu Haltung, Wissen und Erfahrung bezüglich Patientensicherheit, Humanfaktoren und medikolegale Folgen von Fehlern; Vergleich mit Teilnehmern eines maßgeschneiderten Workshops.</w:t>
      </w:r>
    </w:p>
    <w:p>
      <w:r>
        <w:rPr>
          <w:b/>
        </w:rPr>
        <w:t xml:space="preserve">Ergebnis: </w:t>
      </w:r>
      <w:r>
        <w:t>942 Studierende (74,0 %), 332 Assistenzärzte (26,0 %). Häufigste Humanfaktoren: Zeitdruck (57,0 %), Müdigkeit (56,2 %), mangelhafte Übergaben (43,8 %). Bereitschaft zum Umgang mit Humanfaktoren (Median 3/5) und Selbstsicherheit zu Einspruch (Median 3/5) bei Absolventen von Regelschulen signifikant niedriger vs. Privatschule (adjustiertes OR 0,70, 95%-CI 0,57–0,87). 62,2 % fehlte rechtliche Orientierung zu Fehlerfolgen; fast Hälfte wusste nicht, wo Unterstützung zu suchen ist. Workshop-Teilnehmer (n=21) berichteten größere Bereitschaft und Selbstsicherheit bei Einspruch (p &lt; 0,001). Trotz häufigem Kontakt mit Sicherheitsfaktoren nur mäßig vorbereitet und unterstützt.</w:t>
      </w:r>
    </w:p>
    <w:p>
      <w:r>
        <w:rPr>
          <w:b/>
          <w:sz w:val="19"/>
        </w:rPr>
        <w:t xml:space="preserve">Übertragbarkeit: </w:t>
      </w:r>
      <w:r>
        <w:rPr>
          <w:sz w:val="19"/>
        </w:rPr>
        <w:t>Großbritannien, deutschsprachiges System hat ähnliche Lücken in Ausbildung von Medizinern</w:t>
      </w:r>
    </w:p>
    <w:p>
      <w:r>
        <w:rPr>
          <w:color w:val="5A7D3A"/>
          <w:sz w:val="18"/>
        </w:rPr>
        <w:t>https://pubmed.ncbi.nlm.nih.gov/42552191/</w:t>
      </w:r>
    </w:p>
    <w:p>
      <w:pPr>
        <w:pStyle w:val="Heading2"/>
      </w:pPr>
      <w:r>
        <w:t>MRSA-Screening aller Risikopatienten senkt Infektionen und Kosten in spanischen Kliniken</w:t>
      </w:r>
    </w:p>
    <w:p>
      <w:r>
        <w:rPr>
          <w:i/>
          <w:color w:val="666666"/>
          <w:sz w:val="18"/>
        </w:rPr>
        <w:t>Diaz-Brito V et al.  ·  J Med Econ  ·  16.07.2026  ·  PMID 42464566</w:t>
      </w:r>
    </w:p>
    <w:p>
      <w:r>
        <w:t>Modellbasierte Kostenfolgen-Analyse von MRSA-Screening bei Krankenhauspatienten mit hohem Risiko; Vergleich molekulares PCR-Screening versus Kultur versus aktuelle spanische Praxis (Kultur nur in Intensivstationen).</w:t>
      </w:r>
    </w:p>
    <w:p>
      <w:r>
        <w:rPr>
          <w:b/>
        </w:rPr>
        <w:t xml:space="preserve">Ergebnis: </w:t>
      </w:r>
      <w:r>
        <w:t>Molekulares PCR-Screening aller Hochrisikapatienten versus Kulturbasis: 7,4 mehr positive Tests, 4,3 mehr erfolgreiche Dekolo­nisierungen, 0,8 weniger MRSA-Infektionen, Kostenersparnis 748.971 € (−438,8 €/getesteter Patient). Versus aktuelle Praxis (nur Intensivstation): 113,3 mehr positive Tests, 12,6 weniger Infektionen, 3,4 weniger Todesfälle, Kosteneinsparung 272.118 € (−3.278 €/getesteter Patient). Screening mit PCR war kostensparender trotz höherer Testkosten.</w:t>
      </w:r>
    </w:p>
    <w:p>
      <w:r>
        <w:rPr>
          <w:b/>
          <w:sz w:val="19"/>
        </w:rPr>
        <w:t xml:space="preserve">Übertragbarkeit: </w:t>
      </w:r>
      <w:r>
        <w:rPr>
          <w:sz w:val="19"/>
        </w:rPr>
        <w:t>Spanien, vergleichbares Versicherungssystem mit Deutschland, unmittelbar anwendbar</w:t>
      </w:r>
    </w:p>
    <w:p>
      <w:r>
        <w:rPr>
          <w:color w:val="5A7D3A"/>
          <w:sz w:val="18"/>
        </w:rPr>
        <w:t>https://pubmed.ncbi.nlm.nih.gov/42464566/</w:t>
      </w:r>
    </w:p>
    <w:p>
      <w:pPr>
        <w:pStyle w:val="Heading2"/>
      </w:pPr>
      <w:r>
        <w:t>Serotoninsyndom bei Polypharmaka: Fentanyl und Tramadol als übersehene Risiken</w:t>
      </w:r>
    </w:p>
    <w:p>
      <w:r>
        <w:rPr>
          <w:i/>
          <w:color w:val="666666"/>
          <w:sz w:val="18"/>
        </w:rPr>
        <w:t>Blyzniuk B et al.  ·  Eur J Clin Pharmacol  ·  17.07.2026  ·  PMID 42463509</w:t>
      </w:r>
    </w:p>
    <w:p>
      <w:r>
        <w:t>Systematische Literaturübersicht mit Fallanalyse von 764 publizierten Serotoninsyndom-Fällen in Erwachsenen; Analyse von Medikamentenkombinationen und Outcomes zwischen Suizidversuch und Routinemedikation.</w:t>
      </w:r>
    </w:p>
    <w:p>
      <w:r>
        <w:rPr>
          <w:b/>
        </w:rPr>
        <w:t xml:space="preserve">Ergebnis: </w:t>
      </w:r>
      <w:r>
        <w:t>764 Fälle eingeschlossen; 653 (85,6 %) erfüllten Sternbach-, 496 (65,0 %) Hunter-Kriterien. Suizidvorsätze: 79,4 % Intensivstationen, 18,0 % Mortalität; Routinemedikation: 35,6 % Intensivstation, 5,1 % Mortalität (beide p &lt; 0,001). Von 645 Routinefällen 92,9 % Kombinationstherapie; Monotherapie mild, meist nach Start neuer Antidepressiva bei jüngeren Patienten. Netzwerk-Analyse: Trazodone am häufigsten verbundenes Antidepressivum; Fentanyl und Tramadol als zentrale Nicht-Antidepressiva-Knoten. Fünf Fälle nach Antipsychotika-Absetzen bei beibehaltenen Serotonergika.</w:t>
      </w:r>
    </w:p>
    <w:p>
      <w:r>
        <w:rPr>
          <w:b/>
          <w:sz w:val="19"/>
        </w:rPr>
        <w:t xml:space="preserve">Übertragbarkeit: </w:t>
      </w:r>
      <w:r>
        <w:rPr>
          <w:sz w:val="19"/>
        </w:rPr>
        <w:t>Schweiz, deutschsprachig, vergleichbare Polypharmaka-Probleme im europäischen Gesundheitswesen</w:t>
      </w:r>
    </w:p>
    <w:p>
      <w:r>
        <w:rPr>
          <w:color w:val="5A7D3A"/>
          <w:sz w:val="18"/>
        </w:rPr>
        <w:t>https://pubmed.ncbi.nlm.nih.gov/42463509/</w:t>
      </w:r>
    </w:p>
    <w:p>
      <w:pPr>
        <w:pStyle w:val="Heading1"/>
      </w:pPr>
      <w:r>
        <w:t>Aufgenommen am 09.09.2026</w:t>
      </w:r>
    </w:p>
    <w:p>
      <w:pPr>
        <w:pStyle w:val="Heading2"/>
      </w:pPr>
      <w:r>
        <w:t>85% der Schlafstudien melden Nebenwirkungen inkonsistent: Registry-Publikations-Diskordanz gefährdet Patientensicherheit</w:t>
      </w:r>
    </w:p>
    <w:p>
      <w:r>
        <w:rPr>
          <w:i/>
          <w:color w:val="666666"/>
          <w:sz w:val="18"/>
        </w:rPr>
        <w:t>Lackey M et al.  ·  BMJ Open  ·  08.09.2026  ·  PMID 42711075</w:t>
      </w:r>
    </w:p>
    <w:p>
      <w:r>
        <w:t>Querschnitt 168 Schlafstudien: Vergleich Nebenwirkungsmelderaten ClinicalTrials.gov versus peer-review-Publikationen; Ursachen und Lokalisierung der Meldungen analysiert.</w:t>
      </w:r>
    </w:p>
    <w:p>
      <w:r>
        <w:rPr>
          <w:b/>
        </w:rPr>
        <w:t xml:space="preserve">Ergebnis: </w:t>
      </w:r>
      <w:r>
        <w:t>143/168 (85,1%) mit Diskrepanzen schwerwiegender Ereignisse; Patient-Zahlen-Varianz 73,2%; 35,1% ohne Nebenwirkungsdaten. Post-Final-Rule-Studien bessere Registry-Meldung, aber Diskordanz persistiert. 17% Sterblichkeitsunterschätzung möglich.</w:t>
      </w:r>
    </w:p>
    <w:p>
      <w:r>
        <w:rPr>
          <w:b/>
          <w:sz w:val="19"/>
        </w:rPr>
        <w:t xml:space="preserve">Übertragbarkeit: </w:t>
      </w:r>
      <w:r>
        <w:rPr>
          <w:sz w:val="19"/>
        </w:rPr>
        <w:t>USA (Trial-Registry), Publikationsbias; Befund (Reporting-Lücken) auf deutsches Register-Publikations-Gap übertragbar</w:t>
      </w:r>
    </w:p>
    <w:p>
      <w:r>
        <w:rPr>
          <w:color w:val="5A7D3A"/>
          <w:sz w:val="18"/>
        </w:rPr>
        <w:t>https://pubmed.ncbi.nlm.nih.gov/42711075/</w:t>
      </w:r>
    </w:p>
    <w:p>
      <w:pPr>
        <w:pStyle w:val="Heading2"/>
      </w:pPr>
      <w:r>
        <w:t>Rekapillarisierungszeit bei akuter Entzündung: bettseitiger Test allein nicht sepsistauglich</w:t>
      </w:r>
    </w:p>
    <w:p>
      <w:r>
        <w:rPr>
          <w:i/>
          <w:color w:val="666666"/>
          <w:sz w:val="18"/>
        </w:rPr>
        <w:t>Gustavsson H et al.  ·  Crit Care  ·  31.08.2026  ·  PMID 42706575</w:t>
      </w:r>
    </w:p>
    <w:p>
      <w:r>
        <w:t>Prospektives humanes Endotoxämie-Modell (n=25): Die quantitativ gemessene Rekapillarisierungszeit (qCRT) durchlief unter LPS-induzierter systemischer Entzündung einen zweiphasigen Verlauf und überschritt den klinischen Schwellenwert von drei Sekunden in beide Richtungen.</w:t>
      </w:r>
    </w:p>
    <w:p>
      <w:r>
        <w:rPr>
          <w:b/>
        </w:rPr>
        <w:t xml:space="preserve">Ergebnis: </w:t>
      </w:r>
      <w:r>
        <w:t>Die qCRT stieg von etwa 3,5 s zu Beginn auf 8,31 s nach 1,5 Stunden (bei 14 von 25 Probanden wurde die Messobergrenze von 10 s erreicht) und fiel nach 5 Stunden auf 1,27 s. Die Streuung zwischen den Probanden war gering (ICC 0,30); den größten Anteil an der Varianz erklärte die Hauttemperatur. Ein einzelner fester Schwellenwert ist damit nicht verlässlich; die wiederholte Messung am selben Patienten sagt mehr aus als ein Populationsgrenzwert.</w:t>
      </w:r>
    </w:p>
    <w:p>
      <w:r>
        <w:rPr>
          <w:b/>
          <w:sz w:val="19"/>
        </w:rPr>
        <w:t xml:space="preserve">Übertragbarkeit: </w:t>
      </w:r>
      <w:r>
        <w:rPr>
          <w:sz w:val="19"/>
        </w:rPr>
        <w:t>Schweden (Uppsala), physiologische Validierung; Übertragbarkeit auf Sepsisverdacht in Notaufnahmen begrenzt ohne prospektive Patientenstudien</w:t>
      </w:r>
    </w:p>
    <w:p>
      <w:r>
        <w:rPr>
          <w:color w:val="5A7D3A"/>
          <w:sz w:val="18"/>
        </w:rPr>
        <w:t>https://pubmed.ncbi.nlm.nih.gov/42706575/</w:t>
      </w:r>
    </w:p>
    <w:p>
      <w:pPr>
        <w:pStyle w:val="Heading2"/>
      </w:pPr>
      <w:r>
        <w:t>Elektronische Dosierungskorrekturen für DOAC bei älteren Frauen: Benachrichtigungen erreichen nur 33% der Therapieänderungen bei Hochrisiko-Patienten</w:t>
      </w:r>
    </w:p>
    <w:p>
      <w:r>
        <w:rPr>
          <w:i/>
          <w:color w:val="666666"/>
          <w:sz w:val="18"/>
        </w:rPr>
        <w:t>Saraswat A et al.  ·  Res Pract Thromb Haemost  ·  06.08.2026  ·  PMID 42699097</w:t>
      </w:r>
    </w:p>
    <w:p>
      <w:r>
        <w:t>USA, Michigan: Evaluation elektronischer Benachrichtigungen zu DOAC-Dosierungsfehlern; 32,7% führten zu Dosisanpassung; Gründe für Nichtbefolgung dokumentiert.</w:t>
      </w:r>
    </w:p>
    <w:p>
      <w:r>
        <w:rPr>
          <w:b/>
        </w:rPr>
        <w:t xml:space="preserve">Ergebnis: </w:t>
      </w:r>
      <w:r>
        <w:t>Apixaban-Fehler zu 87,8% bei ≥80 Jahren. Dosisreduktion 52% Änderungsquote, Dosiserhöhung nur 16,8% (p&lt;0,001). Originale Verschreiber dokumentierten Ablehnungsgründe in 46,1%, Pharmazeuten in 90,5%. Nierenrückgang, Gewicht, Blutungsrisiko häufigste Ablehnungsgründe.</w:t>
      </w:r>
    </w:p>
    <w:p>
      <w:r>
        <w:rPr>
          <w:b/>
          <w:sz w:val="19"/>
        </w:rPr>
        <w:t xml:space="preserve">Übertragbarkeit: </w:t>
      </w:r>
      <w:r>
        <w:rPr>
          <w:sz w:val="19"/>
        </w:rPr>
        <w:t>USA (Haftungsklima anders), aber Fehlererkennungssystem auf deutsches QM-System übertragbar</w:t>
      </w:r>
    </w:p>
    <w:p>
      <w:r>
        <w:rPr>
          <w:color w:val="5A7D3A"/>
          <w:sz w:val="18"/>
        </w:rPr>
        <w:t>https://pubmed.ncbi.nlm.nih.gov/42699097/</w:t>
      </w:r>
    </w:p>
    <w:p>
      <w:pPr>
        <w:pStyle w:val="Heading2"/>
      </w:pPr>
      <w:r>
        <w:t>Infektionen unter MS-Therapie: italienisches Register zeigt Nutzen von Echtdaten-Vigilanz trotz methodischer Grenzen</w:t>
      </w:r>
    </w:p>
    <w:p>
      <w:r>
        <w:rPr>
          <w:i/>
          <w:color w:val="666666"/>
          <w:sz w:val="18"/>
        </w:rPr>
        <w:t>Salivetto M et al.  ·  Pharmacoepidemiol Drug Saf  ·  Aug. 2026  ·  PMID 42528095</w:t>
      </w:r>
    </w:p>
    <w:p>
      <w:r>
        <w:t>Italienisches MS-Register (RISM) 2016–2025: 24.259 Patienten mit krankheitsmodifizierender Therapie, 4.419 (18,2%) mit Klinischen Ereignissen; Infektionen 29,4%, Malignität 3,7%; prospektive Datenqualitätskontrolle implementiert.</w:t>
      </w:r>
    </w:p>
    <w:p>
      <w:r>
        <w:rPr>
          <w:b/>
        </w:rPr>
        <w:t xml:space="preserve">Ergebnis: </w:t>
      </w:r>
      <w:r>
        <w:t>Bei 24.259 Therapieinitiationen 18,2% mit dokumentiertem Ereignis; Infektionsanteil 29,4% aller Events. Stärken: umfassendes Langzeit-Tracking, Patientenperspektive. Grenzen: methodische Herausforderungen bei Sekundärdaten, Meldepflichten variabel, nationale Transferbarkeit eingeschränkt.</w:t>
      </w:r>
    </w:p>
    <w:p>
      <w:r>
        <w:rPr>
          <w:b/>
          <w:sz w:val="19"/>
        </w:rPr>
        <w:t xml:space="preserve">Übertragbarkeit: </w:t>
      </w:r>
      <w:r>
        <w:rPr>
          <w:sz w:val="19"/>
        </w:rPr>
        <w:t>Italien (vergleichbares EU-Melderecht), kohortales Design; Struktur relevant für deutsches Klinik-Pharmakovigilance-Register</w:t>
      </w:r>
    </w:p>
    <w:p>
      <w:r>
        <w:rPr>
          <w:color w:val="5A7D3A"/>
          <w:sz w:val="18"/>
        </w:rPr>
        <w:t>https://pubmed.ncbi.nlm.nih.gov/42528095/</w:t>
      </w:r>
    </w:p>
    <w:p>
      <w:pPr>
        <w:pStyle w:val="Heading2"/>
      </w:pPr>
      <w:r>
        <w:t>Lamotrigin erhöht SJS/TEN-Risiko 173fach: dänische Inzidenzkohorte quantifiziert Arzneimittelschaden bei Antikonvulsiva</w:t>
      </w:r>
    </w:p>
    <w:p>
      <w:r>
        <w:rPr>
          <w:i/>
          <w:color w:val="666666"/>
          <w:sz w:val="18"/>
        </w:rPr>
        <w:t>Heerfordt IM et al.  ·  Neurology  ·  11.08.2026  ·  PMID 42467870</w:t>
      </w:r>
    </w:p>
    <w:p>
      <w:r>
        <w:t>Dänische Bevölkerungskohorte 1995–2024: 1.388.397 Antikonvulsiva-Initiationen, 83 SJS/TEN-Fälle in 90 Tagen; Mortalität 17%, Ereignisse konzentriert auf erste Wochen.</w:t>
      </w:r>
    </w:p>
    <w:p>
      <w:r>
        <w:rPr>
          <w:b/>
        </w:rPr>
        <w:t xml:space="preserve">Ergebnis: </w:t>
      </w:r>
      <w:r>
        <w:t>Lamotrigin 29,31/100.000 (95% KI 21,46–39,09); Carbamazepin 16,66 (8,32–29,80); Phenobarbital 15,84; Oxcarbazepin 11,25; Valproat 7,31/100.000. Gabapentinoide deutlich niedriger (Pregabalin 2,26, Gabapentin 1,24). Hintergrund 0,17/100.000. 7% aller SJS/TEN-Fälle Dänemarks antikonvulsiva-assoziiert.</w:t>
      </w:r>
    </w:p>
    <w:p>
      <w:r>
        <w:rPr>
          <w:b/>
          <w:sz w:val="19"/>
        </w:rPr>
        <w:t xml:space="preserve">Übertragbarkeit: </w:t>
      </w:r>
      <w:r>
        <w:rPr>
          <w:sz w:val="19"/>
        </w:rPr>
        <w:t>Dänemark (Melderegister), Inzidenzkohorte; europäische Baseline für Vergleichbarkeit mit deutschem Arzneimittelrisiko</w:t>
      </w:r>
    </w:p>
    <w:p>
      <w:r>
        <w:rPr>
          <w:color w:val="5A7D3A"/>
          <w:sz w:val="18"/>
        </w:rPr>
        <w:t>https://pubmed.ncbi.nlm.nih.gov/42467870/</w:t>
      </w:r>
    </w:p>
    <w:p>
      <w:pPr>
        <w:pStyle w:val="Heading2"/>
      </w:pPr>
      <w:r>
        <w:t>Automatisierte nosokomiale Sepsis-Erfassung über Laborresistenzdaten machbar: niederländisches Pilotierungsprojekt zeigt Machbarkeit mit Grenzen</w:t>
      </w:r>
    </w:p>
    <w:p>
      <w:r>
        <w:rPr>
          <w:i/>
          <w:color w:val="666666"/>
          <w:sz w:val="18"/>
        </w:rPr>
        <w:t>Brekelmans M et al.  ·  Euro Surveill  ·  Juli 2026  ·  PMID 42464816</w:t>
      </w:r>
    </w:p>
    <w:p>
      <w:r>
        <w:t>Niederlande 2018–2023: automated surveillance von hospital-onset bacteraemia/fungaemia (HOB) mittels nationales Resistenz-Surveillance-System (ISIS-AR); Feasibility-Evaluation an vier Kliniken mit outcome validation.</w:t>
      </w:r>
    </w:p>
    <w:p>
      <w:r>
        <w:rPr>
          <w:b/>
        </w:rPr>
        <w:t xml:space="preserve">Ergebnis: </w:t>
      </w:r>
      <w:r>
        <w:t>Ältere Parameter &gt;80% dokumentiert; Aufnahmetermin nur in 14/105 Kliniken. Outcome-Validierung: sichere HOB-Identifikation bei Nicht-Kommensalen, variable Sensitivität bei Kommensalen (Laborpolitik-abhängig). Interviewpartner sehen Wert auf Hospitalebene und Benchmarking; nationale Trend-Überwachung unklar.</w:t>
      </w:r>
    </w:p>
    <w:p>
      <w:r>
        <w:rPr>
          <w:b/>
          <w:sz w:val="19"/>
        </w:rPr>
        <w:t xml:space="preserve">Übertragbarkeit: </w:t>
      </w:r>
      <w:r>
        <w:rPr>
          <w:sz w:val="19"/>
        </w:rPr>
        <w:t>Niederlande (vergleichbares Versicherungs- und Meldewesen), Sekundärdaten-Nutzung; direkter Transfer auf deutsches Surveillancesystem möglich</w:t>
      </w:r>
    </w:p>
    <w:p>
      <w:r>
        <w:rPr>
          <w:color w:val="5A7D3A"/>
          <w:sz w:val="18"/>
        </w:rPr>
        <w:t>https://pubmed.ncbi.nlm.nih.gov/42464816/</w:t>
      </w:r>
    </w:p>
    <w:p>
      <w:pPr>
        <w:pStyle w:val="Heading1"/>
      </w:pPr>
      <w:r>
        <w:t>Aufgenommen am 08.09.2026</w:t>
      </w:r>
    </w:p>
    <w:p>
      <w:pPr>
        <w:pStyle w:val="Heading2"/>
      </w:pPr>
      <w:r>
        <w:t>Prospektive Verschreibungsprüfung senkte irrationale Verordnungen um 1,56 Prozentpunkte; Intervention mit Modus bestimmt Erfolg</w:t>
      </w:r>
    </w:p>
    <w:p>
      <w:r>
        <w:rPr>
          <w:i/>
          <w:color w:val="666666"/>
          <w:sz w:val="18"/>
        </w:rPr>
        <w:t>Tang F et al.  ·  JMIR Form Res  ·  27.08.2026  ·  PMID 42704205</w:t>
      </w:r>
    </w:p>
    <w:p>
      <w:r>
        <w:t>Retrospektive Kohortenstudie an Augenklinik in Shanghai mit 2.559.342 ambulanten/Notfall-Rezepten 2024: Evaluation eines prospektiven Verschreibungsprüf-Systems zur Reduktion irrationaler Verordnungen; primäres Outcome: Quote erfolgreich interceptierter Rezepte nach Prüfmodus (Erinnerung, Warnung, obligatorisch).</w:t>
      </w:r>
    </w:p>
    <w:p>
      <w:r>
        <w:rPr>
          <w:b/>
        </w:rPr>
        <w:t xml:space="preserve">Ergebnis: </w:t>
      </w:r>
      <w:r>
        <w:t>Gesamt-Interceptionsquote 32,99 % (40.877/123.914 irrationaler Rezepte). Rezept-Rationalitätsrate stieg von 95,23 % auf 96,79 % nach Ausschluss interceptierter Rezepte (p &lt; 0,001). Obligatorischer Prüfmodus höchste Quote (96,91 %), Erinnerung niedrigste (0,99 %). Pharmakisten-Mitarbeit steigerte Erfolg auf 85,63 %.</w:t>
      </w:r>
    </w:p>
    <w:p>
      <w:r>
        <w:rPr>
          <w:b/>
          <w:sz w:val="19"/>
        </w:rPr>
        <w:t xml:space="preserve">Übertragbarkeit: </w:t>
      </w:r>
      <w:r>
        <w:rPr>
          <w:sz w:val="19"/>
        </w:rPr>
        <w:t>China, aber Designprinzip (prospektive Überprüfung vor Dispensierung) auch im deutschen Apotheken-Standard etabliert</w:t>
      </w:r>
    </w:p>
    <w:p>
      <w:r>
        <w:rPr>
          <w:color w:val="5A7D3A"/>
          <w:sz w:val="18"/>
        </w:rPr>
        <w:t>https://pubmed.ncbi.nlm.nih.gov/42704205/</w:t>
      </w:r>
    </w:p>
    <w:p>
      <w:pPr>
        <w:pStyle w:val="Heading2"/>
      </w:pPr>
      <w:r>
        <w:t>Frühere Knie- und Schulter-Arthroskopie erhöhen Infektionsrisiko nach Endoprothese, Hüfte nicht</w:t>
      </w:r>
    </w:p>
    <w:p>
      <w:r>
        <w:rPr>
          <w:i/>
          <w:color w:val="666666"/>
          <w:sz w:val="18"/>
        </w:rPr>
        <w:t>Liu H et al.  ·  J Invest Surg  ·  07.09.2026  ·  PMID 42704073</w:t>
      </w:r>
    </w:p>
    <w:p>
      <w:r>
        <w:t>Meta-Analyse von 31 Beobachtungsstudien: Odds Ratios für nosokomiale Infektionen nach Knie-, Hüft- und Schulter-Endoprothesen in Abhängigkeit von vorausgegangener Arthroskopie desselben oder anderer Gelenke.</w:t>
      </w:r>
    </w:p>
    <w:p>
      <w:r>
        <w:rPr>
          <w:b/>
        </w:rPr>
        <w:t xml:space="preserve">Ergebnis: </w:t>
      </w:r>
      <w:r>
        <w:t>Frühere Knie-Arthroskopie: erhöhtes Infektionsrisiko (OR 1,33, 95%-KI 1,14–1,56); frühere Schulter-Arthroskopie: erhöhtes Risiko für Tiefinfektionen (OR erhöht); frühere Hüft-Arthroskopie: kein signifikanter Zusammenhang. Gepoolte Gesamtinfektionsrate 2 %. Jointspecific Risk-Stratifikation erforderlich.</w:t>
      </w:r>
    </w:p>
    <w:p>
      <w:r>
        <w:rPr>
          <w:b/>
          <w:sz w:val="19"/>
        </w:rPr>
        <w:t xml:space="preserve">Übertragbarkeit: </w:t>
      </w:r>
      <w:r>
        <w:rPr>
          <w:sz w:val="19"/>
        </w:rPr>
        <w:t>Internationale Metaanalyse, Ergebnisse auf deutsches Trauma/Orthopädie-System übertragbar</w:t>
      </w:r>
    </w:p>
    <w:p>
      <w:r>
        <w:rPr>
          <w:color w:val="5A7D3A"/>
          <w:sz w:val="18"/>
        </w:rPr>
        <w:t>https://pubmed.ncbi.nlm.nih.gov/42704073/</w:t>
      </w:r>
    </w:p>
    <w:p>
      <w:pPr>
        <w:pStyle w:val="Heading2"/>
      </w:pPr>
      <w:r>
        <w:t>Chirurgische Wundinfektionen: Surveillance, Audit und perioperative Maßnahmen-Bundle zur Prävention</w:t>
      </w:r>
    </w:p>
    <w:p>
      <w:r>
        <w:rPr>
          <w:i/>
          <w:color w:val="666666"/>
          <w:sz w:val="18"/>
        </w:rPr>
        <w:t>Ambrosie L et al.  ·  Chirurgia (Bucur)  ·  Juli 2026  ·  PMID 42703985</w:t>
      </w:r>
    </w:p>
    <w:p>
      <w:r>
        <w:t>Strukturierte Narrativ-Review zur nosokomialen Infektionsprävention in der Allgemeinchirurgie: kritische Analyse von Definitionen, Surveillance, Audit, Antibiotika-Resistenz und perioperativer Vorbeugung mit Fokus auf Chirurgische Wundinfektionen (SSI) – mit Maßnahmen-Bundle und Audit-Dashboard.</w:t>
      </w:r>
    </w:p>
    <w:p>
      <w:r>
        <w:rPr>
          <w:b/>
        </w:rPr>
        <w:t xml:space="preserve">Ergebnis: </w:t>
      </w:r>
      <w:r>
        <w:t>Empfehlungsgrundlagen: korrekte Antibiotika-Prophylaxe, alkoholhaltige Hautdesinfektion, Vermeidung intraoperativer Hypothermie, aseptische Praxis, Stewardship und Post-Entlassung-Fallermittlung sind konsistent durch Evidenz gestützt. Bundles können SSI reduzieren, aber Effekt hängt von Adhärenz und Kontext ab; größere Bundles nicht automatisch wirksamer.</w:t>
      </w:r>
    </w:p>
    <w:p>
      <w:r>
        <w:rPr>
          <w:b/>
          <w:sz w:val="19"/>
        </w:rPr>
        <w:t xml:space="preserve">Übertragbarkeit: </w:t>
      </w:r>
      <w:r>
        <w:rPr>
          <w:sz w:val="19"/>
        </w:rPr>
        <w:t>Rumänien, europäischer Ansatz zu SSI-Prävention, KRINKO-kompatibel</w:t>
      </w:r>
    </w:p>
    <w:p>
      <w:r>
        <w:rPr>
          <w:color w:val="5A7D3A"/>
          <w:sz w:val="18"/>
        </w:rPr>
        <w:t>https://pubmed.ncbi.nlm.nih.gov/42703985/</w:t>
      </w:r>
    </w:p>
    <w:p>
      <w:pPr>
        <w:pStyle w:val="Heading2"/>
      </w:pPr>
      <w:r>
        <w:t>Standardmaßnahmen ohne Isolierung reduzierten ESBL-E-Infektionen ähnlich wie Isolierung – non-inferiority-Design zur Versorgungsoptimierung</w:t>
      </w:r>
    </w:p>
    <w:p>
      <w:r>
        <w:rPr>
          <w:i/>
          <w:color w:val="666666"/>
          <w:sz w:val="18"/>
        </w:rPr>
        <w:t>Ezzi O et al.  ·  PLoS One  ·  21.07.2026  ·  PMID 42479741</w:t>
      </w:r>
    </w:p>
    <w:p>
      <w:r>
        <w:t>Prospektiver Interventionsstudie in französischen geriatrischen Stationen: Vergleich Standard Precautions (SP) ohne Isolierung gegen Isolierung nur bei klinisch erkannten ESBL-E-Infektionen. Primärausgang: Inzidenzrate neuer ESBL-E-Akquisitionen pro 1.000 Patiententage.</w:t>
      </w:r>
    </w:p>
    <w:p>
      <w:r>
        <w:rPr>
          <w:b/>
        </w:rPr>
        <w:t xml:space="preserve">Ergebnis: </w:t>
      </w:r>
      <w:r>
        <w:t>Studienprotokoll mit Studiendesign (crossover mit alternierenden Perioden, 4-Jahres-Laufzeit). Ziel: Non-Inferiority von SP zu zeigen. Ergebnis noch nicht vorgelegen, aber Design adressiert das versorgungskritische Problem unnötiger Isolierungen bei stabiler Epidemiologie.</w:t>
      </w:r>
    </w:p>
    <w:p>
      <w:r>
        <w:rPr>
          <w:b/>
          <w:sz w:val="19"/>
        </w:rPr>
        <w:t xml:space="preserve">Übertragbarkeit: </w:t>
      </w:r>
      <w:r>
        <w:rPr>
          <w:sz w:val="19"/>
        </w:rPr>
        <w:t>Frankreich, vergleichbar mit DACH-Systemen, Infektionsschutz-Standard</w:t>
      </w:r>
    </w:p>
    <w:p>
      <w:r>
        <w:rPr>
          <w:color w:val="5A7D3A"/>
          <w:sz w:val="18"/>
        </w:rPr>
        <w:t>https://pubmed.ncbi.nlm.nih.gov/42479741/</w:t>
      </w:r>
    </w:p>
    <w:p>
      <w:pPr>
        <w:pStyle w:val="Heading2"/>
      </w:pPr>
      <w:r>
        <w:t>Spanische Validierung der Hospital Survey on Patient Safety Culture v2: robust messbare Sicherheitskultur in 4 Krankenhäusern</w:t>
      </w:r>
    </w:p>
    <w:p>
      <w:r>
        <w:rPr>
          <w:i/>
          <w:color w:val="666666"/>
          <w:sz w:val="18"/>
        </w:rPr>
        <w:t>Lopez-Picazo JJ et al.  ·  J Eval Clin Pract  ·  Aug. 2026  ·  PMID 42472383</w:t>
      </w:r>
    </w:p>
    <w:p>
      <w:r>
        <w:t>Querschnittliche Validierungsstudie in 4 spanischen Krankenhäusern mit 369 Fachpersonen zur psychometrischen Anpassung der HSOPS v2 ins Spanische: Confirmatory Factor Analysis mit WLSMV-Schätzer, Messung von Reliabilität, konvergenter und diskriminanter Validität.</w:t>
      </w:r>
    </w:p>
    <w:p>
      <w:r>
        <w:rPr>
          <w:b/>
        </w:rPr>
        <w:t xml:space="preserve">Ergebnis: </w:t>
      </w:r>
      <w:r>
        <w:t>10-Faktor-Modell mit zufriedenstellenden Fit-Indizes (CFI, TLI &gt; 0,90; RMSEA &lt; 0,06; SRMR &lt; 0,08). Cronbach α und composite reliability &gt; 0,70 in 8 von 10 Dimensionen. Diskriminanzvalidität unterstützt. Spanische HSOPS v2 zur Sicherheitskultur-Messung geeignet.</w:t>
      </w:r>
    </w:p>
    <w:p>
      <w:r>
        <w:rPr>
          <w:b/>
          <w:sz w:val="19"/>
        </w:rPr>
        <w:t xml:space="preserve">Übertragbarkeit: </w:t>
      </w:r>
      <w:r>
        <w:rPr>
          <w:sz w:val="19"/>
        </w:rPr>
        <w:t>Spanien, vergleichbar mit deutschem Ansatz zur Sicherheitskultur-Erfassung</w:t>
      </w:r>
    </w:p>
    <w:p>
      <w:r>
        <w:rPr>
          <w:color w:val="5A7D3A"/>
          <w:sz w:val="18"/>
        </w:rPr>
        <w:t>https://pubmed.ncbi.nlm.nih.gov/42472383/</w:t>
      </w:r>
    </w:p>
    <w:p>
      <w:pPr>
        <w:pStyle w:val="Heading2"/>
      </w:pPr>
      <w:r>
        <w:t>Klinische Entscheidungsfindung bei Verdacht auf maternale Sepsis: Überbehandlung mit Breitspektrumantibiotika um 21 % vermeidet Todesfälle, aber Stewardship scheitert</w:t>
      </w:r>
    </w:p>
    <w:p>
      <w:r>
        <w:rPr>
          <w:i/>
          <w:color w:val="666666"/>
          <w:sz w:val="18"/>
        </w:rPr>
        <w:t>Kingdon C et al.  ·  BMJ Open  ·  17.07.2026  ·  PMID 42468961</w:t>
      </w:r>
    </w:p>
    <w:p>
      <w:r>
        <w:t>Qualitative Studie mit 24 UK-Klinikern (Geburtshelfer, Anästhesisten, Hebammen) zur Entscheidungsfindung bei Verdacht auf maternale Sepsis in der Geburtshilfe: Sie zeigt, dass 21 von 24 Klinikern Überbehandlung als Problem erachten, aber Angst vor Sepsismissdiagnose die Antibiotic Stewardship überlagert.</w:t>
      </w:r>
    </w:p>
    <w:p>
      <w:r>
        <w:rPr>
          <w:b/>
        </w:rPr>
        <w:t xml:space="preserve">Ergebnis: </w:t>
      </w:r>
      <w:r>
        <w:t>21 von 24 Klinikern (87,5 %) bestätigten Überbehandlung als Problem; Angst vor Sepsismissdiagnose dominiert klinische Entscheidungen. Bessere Point-of-Care-Diagnostik und Leitlinien-Anpassungen sind erforderlich – ohne diese bleibt Overtreatment unvermeidlich.</w:t>
      </w:r>
    </w:p>
    <w:p>
      <w:r>
        <w:rPr>
          <w:b/>
          <w:sz w:val="19"/>
        </w:rPr>
        <w:t xml:space="preserve">Übertragbarkeit: </w:t>
      </w:r>
      <w:r>
        <w:rPr>
          <w:sz w:val="19"/>
        </w:rPr>
        <w:t>UK-NHS, vergleichbar mit deutschem Versorgungsauftrag, aber anderes Melderecht</w:t>
      </w:r>
    </w:p>
    <w:p>
      <w:r>
        <w:rPr>
          <w:color w:val="5A7D3A"/>
          <w:sz w:val="18"/>
        </w:rPr>
        <w:t>https://pubmed.ncbi.nlm.nih.gov/42468961/</w:t>
      </w:r>
    </w:p>
    <w:p>
      <w:pPr>
        <w:pStyle w:val="Heading1"/>
      </w:pPr>
      <w:r>
        <w:t>Aufgenommen am 07.09.2026</w:t>
      </w:r>
    </w:p>
    <w:p>
      <w:pPr>
        <w:pStyle w:val="Heading2"/>
      </w:pPr>
      <w:r>
        <w:t>Antibiotic Stewardship in Lombardy: Access-Watch-Reserve Quoten bleiben unter WHO-Ziel</w:t>
      </w:r>
    </w:p>
    <w:p>
      <w:r>
        <w:rPr>
          <w:i/>
          <w:color w:val="666666"/>
          <w:sz w:val="18"/>
        </w:rPr>
        <w:t>Augello M et al.  ·  J Antimicrob Chemother  ·  01.09.2026  ·  PMID 42702569</w:t>
      </w:r>
    </w:p>
    <w:p>
      <w:r>
        <w:t>Regionale administrative Daten zum stationären Antibiotikahaubrauch in der Lombardei 2017–2024, stratifiziert nach Stationstyp und Pandemie-Phasen.</w:t>
      </w:r>
    </w:p>
    <w:p>
      <w:r>
        <w:rPr>
          <w:b/>
        </w:rPr>
        <w:t xml:space="preserve">Ergebnis: </w:t>
      </w:r>
      <w:r>
        <w:t>Trotz Anstieg von Access-Antibiotika erreichte die Region die WHO-Zielquote (≥60%) nicht; Watch-Antibiotika nahmen ab, Reserve-Antibiotika stiegen besorgniserregend an (p&lt;0,05). Systemische Lücke in der Antibiotikaauswahl als Versorgungsproblem.</w:t>
      </w:r>
    </w:p>
    <w:p>
      <w:r>
        <w:rPr>
          <w:b/>
          <w:sz w:val="19"/>
        </w:rPr>
        <w:t xml:space="preserve">Übertragbarkeit: </w:t>
      </w:r>
      <w:r>
        <w:rPr>
          <w:sz w:val="19"/>
        </w:rPr>
        <w:t>Italien, vergleichbare EU-Dokumentationspflichten, systematisch untersuchte Fehlerquelle</w:t>
      </w:r>
    </w:p>
    <w:p>
      <w:r>
        <w:rPr>
          <w:color w:val="5A7D3A"/>
          <w:sz w:val="18"/>
        </w:rPr>
        <w:t>https://pubmed.ncbi.nlm.nih.gov/42702569/</w:t>
      </w:r>
    </w:p>
    <w:p>
      <w:pPr>
        <w:pStyle w:val="Heading2"/>
      </w:pPr>
      <w:r>
        <w:t>Klinischer Pharmazeut senkt Antibiotika-Dosierungsfehler bei Bacteriämie um Sechsfaches</w:t>
      </w:r>
    </w:p>
    <w:p>
      <w:r>
        <w:rPr>
          <w:i/>
          <w:color w:val="666666"/>
          <w:sz w:val="18"/>
        </w:rPr>
        <w:t>Givon Cohen Y et al.  ·  Isr Med Assoc J  ·  Sept. 2026  ·  PMID 42701840</w:t>
      </w:r>
    </w:p>
    <w:p>
      <w:r>
        <w:t>Vorher-Nachher-Studie: 170 Patienten mit Bacteriämie unter Pharmazeuten-Intervention (Juli 2018–Juni 2019) vs. 173 Kontrollen; Outcome: Angemessenheit von Antibiotikaauswahl und Dosierung.</w:t>
      </w:r>
    </w:p>
    <w:p>
      <w:r>
        <w:rPr>
          <w:b/>
        </w:rPr>
        <w:t xml:space="preserve">Ergebnis: </w:t>
      </w:r>
      <w:r>
        <w:t>Angepasste Dosierung stieg von 91,3% auf 97,6% (p=0,011); pathogengerechte Auswahl von 95,4% auf 100% (p=0,007). Odds Ratio für angemessene Behandlung 5,00 (95%-KI 1,64–15,25). 7-Tage-Rezidiv sank von 8,7% auf 2,4% (p=0,010).</w:t>
      </w:r>
    </w:p>
    <w:p>
      <w:r>
        <w:rPr>
          <w:b/>
          <w:sz w:val="19"/>
        </w:rPr>
        <w:t xml:space="preserve">Übertragbarkeit: </w:t>
      </w:r>
      <w:r>
        <w:rPr>
          <w:sz w:val="19"/>
        </w:rPr>
        <w:t>Israel, sozialversichertes Gesundheitssystem, Antibiotic-Stewardship-Modell funktioniert</w:t>
      </w:r>
    </w:p>
    <w:p>
      <w:r>
        <w:rPr>
          <w:color w:val="5A7D3A"/>
          <w:sz w:val="18"/>
        </w:rPr>
        <w:t>https://pubmed.ncbi.nlm.nih.gov/42701840/</w:t>
      </w:r>
    </w:p>
    <w:p>
      <w:pPr>
        <w:pStyle w:val="Heading2"/>
      </w:pPr>
      <w:r>
        <w:t>Organisationale Bindung stärkt Infektionsprävention über Arbeitszufriedenheit</w:t>
      </w:r>
    </w:p>
    <w:p>
      <w:r>
        <w:rPr>
          <w:i/>
          <w:color w:val="666666"/>
          <w:sz w:val="18"/>
        </w:rPr>
        <w:t>Wang L et al.  ·  Front Public Health  ·  21.08.2026  ·  PMID 42698679</w:t>
      </w:r>
    </w:p>
    <w:p>
      <w:r>
        <w:t>Querschnittsstudie mit 394 Fachkräften der Infektionsprävention aus 231 Krankenhäusern in Hubei, China; Strukturgleichungsmodell zur Untersuchung von organisationaler Bindung, Arbeitszufriedenheit und Umsetzung von Hygienemaßnahmen.</w:t>
      </w:r>
    </w:p>
    <w:p>
      <w:r>
        <w:rPr>
          <w:b/>
        </w:rPr>
        <w:t xml:space="preserve">Ergebnis: </w:t>
      </w:r>
      <w:r>
        <w:t>Organisationale Bindung wirkte positiv auf Hygiene-Umsetzung (β=0,556, p&lt;0,001). Arbeitszufriedenheit mediierte die Assoziation (β=0,193, 95%-KI 0,094–0,295) und erklärte 25,78% der Gesamtwirkung. Strukturelle Faktoren sind modifizierbar.</w:t>
      </w:r>
    </w:p>
    <w:p>
      <w:r>
        <w:rPr>
          <w:b/>
          <w:sz w:val="19"/>
        </w:rPr>
        <w:t xml:space="preserve">Übertragbarkeit: </w:t>
      </w:r>
      <w:r>
        <w:rPr>
          <w:sz w:val="19"/>
        </w:rPr>
        <w:t>China, kulturelles Umfeld unterschiedlich, aber Mechanismus der Mitarbeiterbindung für Prävention übergreifend</w:t>
      </w:r>
    </w:p>
    <w:p>
      <w:r>
        <w:rPr>
          <w:color w:val="5A7D3A"/>
          <w:sz w:val="18"/>
        </w:rPr>
        <w:t>https://pubmed.ncbi.nlm.nih.gov/42698679/</w:t>
      </w:r>
    </w:p>
    <w:p>
      <w:pPr>
        <w:pStyle w:val="Heading2"/>
      </w:pPr>
      <w:r>
        <w:t>Sepsis-Schockbehandlung: von starren Algorithmen zu Perfusions-gesteuerter Individualisierung</w:t>
      </w:r>
    </w:p>
    <w:p>
      <w:r>
        <w:rPr>
          <w:i/>
          <w:color w:val="666666"/>
          <w:sz w:val="18"/>
        </w:rPr>
        <w:t>Hernandez G et al.  ·  Crit Care  ·  21.07.2026  ·  PMID 42482139</w:t>
      </w:r>
    </w:p>
    <w:p>
      <w:r>
        <w:t>Konzeptionelle Übersicht von 25 Jahren Resuscitations-Studien (EGDT bis ANDROMEDA-SHOCK-2); Analyse, wie Proteure Schockmanagement sich von fixen Zielen zu Phänotypisierung verschob.</w:t>
      </w:r>
    </w:p>
    <w:p>
      <w:r>
        <w:rPr>
          <w:b/>
        </w:rPr>
        <w:t xml:space="preserve">Ergebnis: </w:t>
      </w:r>
      <w:r>
        <w:t>Frühe zielgerichtete Therapie (EGDT) nicht reproduzierbar in Multizentern. ANDROMEDA-SHOCK zeigte Vorteil von Kapillarfüllungszeit; ANDROMEDA-SHOCK-2 integrierte Phänotypisierung, reversible Tests und serielle Neubewertung mit potenziellen Verbesserungen.</w:t>
      </w:r>
    </w:p>
    <w:p>
      <w:r>
        <w:rPr>
          <w:b/>
          <w:sz w:val="19"/>
        </w:rPr>
        <w:t xml:space="preserve">Übertragbarkeit: </w:t>
      </w:r>
      <w:r>
        <w:rPr>
          <w:sz w:val="19"/>
        </w:rPr>
        <w:t>Internationale Autoren, deutsches Zentrum vertreten; sepsis-spezifischer Evidenzsynthese</w:t>
      </w:r>
    </w:p>
    <w:p>
      <w:r>
        <w:rPr>
          <w:color w:val="5A7D3A"/>
          <w:sz w:val="18"/>
        </w:rPr>
        <w:t>https://pubmed.ncbi.nlm.nih.gov/42482139/</w:t>
      </w:r>
    </w:p>
    <w:p>
      <w:pPr>
        <w:pStyle w:val="Heading2"/>
      </w:pPr>
      <w:r>
        <w:t>MR-Sicherheit beim Intensiv-Transport: Qualitative Studie zeigt Lücken in Praxis vs. Protokoll</w:t>
      </w:r>
    </w:p>
    <w:p>
      <w:r>
        <w:rPr>
          <w:i/>
          <w:color w:val="666666"/>
          <w:sz w:val="18"/>
        </w:rPr>
        <w:t>Martins MP et al.  ·  Radiography (Lond)  ·  20.07.2026  ·  PMID 42480422</w:t>
      </w:r>
    </w:p>
    <w:p>
      <w:r>
        <w:t>Ethnographische Beobachtungsstudie bei 14 Intrahospital-Transporten kritisch Kranker zur MR-Bildgebung in Schweden und Portugal; Fokus auf Sicherheits-Praktiken im Alltag.</w:t>
      </w:r>
    </w:p>
    <w:p>
      <w:r>
        <w:rPr>
          <w:b/>
        </w:rPr>
        <w:t xml:space="preserve">Ergebnis: </w:t>
      </w:r>
      <w:r>
        <w:t>Sicherheit entstand durch dynamische Koordination von Checklisten, Zeit-out-Verfahren und räumlicher Anpassung – nicht durch Protokoll allein. Lücken entstanden bei unzureichender Kommunikation und unvollständiger Dokumentation zu Implantaten. Radiographen waren zentrale Koordinatoren.</w:t>
      </w:r>
    </w:p>
    <w:p>
      <w:r>
        <w:rPr>
          <w:b/>
          <w:sz w:val="19"/>
        </w:rPr>
        <w:t xml:space="preserve">Übertragbarkeit: </w:t>
      </w:r>
      <w:r>
        <w:rPr>
          <w:sz w:val="19"/>
        </w:rPr>
        <w:t>Schweden und Portugal, europäische Klinikpraxis; qualitatives Sicherheitsmodell generalisierbar</w:t>
      </w:r>
    </w:p>
    <w:p>
      <w:r>
        <w:rPr>
          <w:color w:val="5A7D3A"/>
          <w:sz w:val="18"/>
        </w:rPr>
        <w:t>https://pubmed.ncbi.nlm.nih.gov/42480422/</w:t>
      </w:r>
    </w:p>
    <w:p>
      <w:pPr>
        <w:pStyle w:val="Heading2"/>
      </w:pPr>
      <w:r>
        <w:t>Pseudomonas-aeruginosa-Persistence in Klinikwasser: acht Jahre Langzeitüberwachung</w:t>
      </w:r>
    </w:p>
    <w:p>
      <w:r>
        <w:rPr>
          <w:i/>
          <w:color w:val="666666"/>
          <w:sz w:val="18"/>
        </w:rPr>
        <w:t>Sheth E et al.  ·  J Hosp Infect  ·  21.07.2026  ·  PMID 42476193</w:t>
      </w:r>
    </w:p>
    <w:p>
      <w:r>
        <w:t>Retrospektive Analyse von 404 klinischen und Umgebungsisolaten mittels VNTR-Genotypisierung; Vergleich genetisch identischer Stämme aus Wasser und Patientenblut über Jahre.</w:t>
      </w:r>
    </w:p>
    <w:p>
      <w:r>
        <w:rPr>
          <w:b/>
        </w:rPr>
        <w:t xml:space="preserve">Ergebnis: </w:t>
      </w:r>
      <w:r>
        <w:t>56 VNTR-Cluster identifiziert; 39 Cluster zeigten Persistenz über ein bis über acht Jahre. Umgebungsisolate voraus: neun Cluster zeigten Wasser-zu-Patient-Transmission. Ein Cluster (n=20) über acht Jahre mit 17 Umgebungs-, ein invasives und zwei nicht-invasive Isolate.</w:t>
      </w:r>
    </w:p>
    <w:p>
      <w:r>
        <w:rPr>
          <w:b/>
          <w:sz w:val="19"/>
        </w:rPr>
        <w:t xml:space="preserve">Übertragbarkeit: </w:t>
      </w:r>
      <w:r>
        <w:rPr>
          <w:sz w:val="19"/>
        </w:rPr>
        <w:t>England, NHS-Zentrum, Besorgnis um nosokomiale Infektionen ist direkt übertragbar</w:t>
      </w:r>
    </w:p>
    <w:p>
      <w:r>
        <w:rPr>
          <w:color w:val="5A7D3A"/>
          <w:sz w:val="18"/>
        </w:rPr>
        <w:t>https://pubmed.ncbi.nlm.nih.gov/42476193/</w:t>
      </w:r>
    </w:p>
    <w:p>
      <w:pPr>
        <w:pStyle w:val="Heading1"/>
      </w:pPr>
      <w:r>
        <w:t>Aufgenommen am 06.09.2026</w:t>
      </w:r>
    </w:p>
    <w:p>
      <w:pPr>
        <w:pStyle w:val="Heading2"/>
      </w:pPr>
      <w:r>
        <w:t>Interdisziplinäres Schulungsprogramm senkt Harnwegsinfektionen in Heimpflege durch strukturierte Prävention</w:t>
      </w:r>
    </w:p>
    <w:p>
      <w:r>
        <w:rPr>
          <w:i/>
          <w:color w:val="666666"/>
          <w:sz w:val="18"/>
        </w:rPr>
        <w:t>Hagan C et al.  ·  Home Healthc Now  ·  04.09.2026  ·  PMID 42696361</w:t>
      </w:r>
    </w:p>
    <w:p>
      <w:r>
        <w:t>Programmevaluation einer Fortbildungs-Intervention über Katheterpflege, Händehygiene und Infektionserkennung für Heimpflegefachkräfte mit vorher-nachher Vergleich Infektionsraten.</w:t>
      </w:r>
    </w:p>
    <w:p>
      <w:r>
        <w:rPr>
          <w:b/>
        </w:rPr>
        <w:t xml:space="preserve">Ergebnis: </w:t>
      </w:r>
      <w:r>
        <w:t>Vorläufige Ergebnisse berichten verbesserte Wissensvermittlung bei Personal und verbesserte Patientensicherheit; frühe Daten zeigen Reduktion der Infektionsraten. Interdisziplinärer Ansatz über Pflege, Ergotherapie, Wund- und Stomatologie-Spezialisierungen erwies sich in Alltagsroutinen praktisch anwendbar.</w:t>
      </w:r>
    </w:p>
    <w:p>
      <w:r>
        <w:rPr>
          <w:b/>
          <w:sz w:val="19"/>
        </w:rPr>
        <w:t xml:space="preserve">Übertragbarkeit: </w:t>
      </w:r>
      <w:r>
        <w:rPr>
          <w:sz w:val="19"/>
        </w:rPr>
        <w:t>USA, Heimgesundheitswesen, Übertragbarkeit auf strukturelle ambulante Patientensicherheit</w:t>
      </w:r>
    </w:p>
    <w:p>
      <w:r>
        <w:rPr>
          <w:color w:val="5A7D3A"/>
          <w:sz w:val="18"/>
        </w:rPr>
        <w:t>https://pubmed.ncbi.nlm.nih.gov/42696361/</w:t>
      </w:r>
    </w:p>
    <w:p>
      <w:pPr>
        <w:pStyle w:val="Heading2"/>
      </w:pPr>
      <w:r>
        <w:t>Chirurgische Wundinfektion nach Amputation: 10,9% Infektionsrate, Risikofaktoren identifiziert</w:t>
      </w:r>
    </w:p>
    <w:p>
      <w:r>
        <w:rPr>
          <w:i/>
          <w:color w:val="666666"/>
          <w:sz w:val="18"/>
        </w:rPr>
        <w:t>SIMBA Collaborative Group  ·  BJS Open  ·  04.09.2026  ·  PMID 42695654</w:t>
      </w:r>
    </w:p>
    <w:p>
      <w:r>
        <w:t>Die SIMBA-Studie untersuchte prospektiv nosokomiale Infektionen nach großen Unterschenkelamputationen in 1314 Patienten aus 46 internationalen Zentren über 8 Monate mit 30-Tage-Nachverfolgung.</w:t>
      </w:r>
    </w:p>
    <w:p>
      <w:r>
        <w:rPr>
          <w:b/>
        </w:rPr>
        <w:t xml:space="preserve">Ergebnis: </w:t>
      </w:r>
      <w:r>
        <w:t>Infektionsrate 10,9% (135 von 1238), Wunddehiszenz 16,7% (204 von 1217). Unabhängige Risikofaktoren: niedrige glomeruläre Filtrationsrate, Herzerkrankung, verschmutzte/infizierte Wundklasse, Unterschenkelamputationen. Infektionen mit erhöhter Morbidität, Wunddehiszenz, Revisionsoperationen und verzögerter Entlassung assoziiert, aber nicht mit 30-Tage-Mortalität (7,0%).</w:t>
      </w:r>
    </w:p>
    <w:p>
      <w:r>
        <w:rPr>
          <w:b/>
          <w:sz w:val="19"/>
        </w:rPr>
        <w:t xml:space="preserve">Übertragbarkeit: </w:t>
      </w:r>
      <w:r>
        <w:rPr>
          <w:sz w:val="19"/>
        </w:rPr>
        <w:t>UK/Europa, systematische Datenerfassung nach etablierten CDC-Kriterien</w:t>
      </w:r>
    </w:p>
    <w:p>
      <w:r>
        <w:rPr>
          <w:color w:val="5A7D3A"/>
          <w:sz w:val="18"/>
        </w:rPr>
        <w:t>https://pubmed.ncbi.nlm.nih.gov/42695654/</w:t>
      </w:r>
    </w:p>
    <w:p>
      <w:pPr>
        <w:pStyle w:val="Heading2"/>
      </w:pPr>
      <w:r>
        <w:t>Medikamenteninduzierte Leberschäden: Lücke zwischen Suchtrends und Symptomwissen in Kasachstan</w:t>
      </w:r>
    </w:p>
    <w:p>
      <w:r>
        <w:rPr>
          <w:i/>
          <w:color w:val="666666"/>
          <w:sz w:val="18"/>
        </w:rPr>
        <w:t>Saparbay J et al.  ·  Int J Environ Res Public Health  ·  14.08.2026  ·  PMID 42652369</w:t>
      </w:r>
    </w:p>
    <w:p>
      <w:r>
        <w:t>Infodemiology-Studie untersuchte Online-Suchverhalten zu medikamenteninduzierter Leberschädigung und hepatotoxischen Mitteln in Kasachstan 2021–2026 mittels Google-Trends-Daten und Mann-Kendall-Trendtest.</w:t>
      </w:r>
    </w:p>
    <w:p>
      <w:r>
        <w:rPr>
          <w:b/>
        </w:rPr>
        <w:t xml:space="preserve">Ergebnis: </w:t>
      </w:r>
      <w:r>
        <w:t>20 von 21 Suchbegriffen mit signifikantem Trend (p &lt; 0,05). Diätetische Supplemente zeigten stärksten Anstiegstrend (S = +1.275, Z = +7,93, p &lt; 0,001). Allgemeiner Begriff ‚Leber' höchste Suchaktivität (mittlere RSV 84,30), spezifische DILI-Symptome (dunkler Urin, Hautjucken) minimal (1,28; 0,07). Starke positive Korrelation Paracetamol-Antibiotika-Suchen (rs = 0,812, p &lt; 0,001) zeigt Selbstmedikationsmuster.</w:t>
      </w:r>
    </w:p>
    <w:p>
      <w:r>
        <w:rPr>
          <w:b/>
          <w:sz w:val="19"/>
        </w:rPr>
        <w:t xml:space="preserve">Übertragbarkeit: </w:t>
      </w:r>
      <w:r>
        <w:rPr>
          <w:sz w:val="19"/>
        </w:rPr>
        <w:t>Zentralasien, neue Region, Identifikation Wissenlücke zur Prävention unerwünschter Arzneimittelwirkungen</w:t>
      </w:r>
    </w:p>
    <w:p>
      <w:r>
        <w:rPr>
          <w:color w:val="5A7D3A"/>
          <w:sz w:val="18"/>
        </w:rPr>
        <w:t>https://pubmed.ncbi.nlm.nih.gov/42652369/</w:t>
      </w:r>
    </w:p>
    <w:p>
      <w:pPr>
        <w:pStyle w:val="Heading2"/>
      </w:pPr>
      <w:r>
        <w:t>Geruchsreize verstärken Händehygiene in virtueller OP-Simulation um Faktor 2,7</w:t>
      </w:r>
    </w:p>
    <w:p>
      <w:r>
        <w:rPr>
          <w:i/>
          <w:color w:val="666666"/>
          <w:sz w:val="18"/>
        </w:rPr>
        <w:t>Junga A et al.  ·  JMIR Med Educ  ·  19.08.2026  ·  PMID 42617058</w:t>
      </w:r>
    </w:p>
    <w:p>
      <w:r>
        <w:t>Kontrollierte Studie an Universität Münster (Winter 2025/26) mit 95 Medizinstudierenden untersuchte Auswirkung realen Desinfektionsmittelgeruchs auf VR-Simulation auf Händehygiene-Compliance und Handschuhgebrauch.</w:t>
      </w:r>
    </w:p>
    <w:p>
      <w:r>
        <w:rPr>
          <w:b/>
        </w:rPr>
        <w:t xml:space="preserve">Ergebnis: </w:t>
      </w:r>
      <w:r>
        <w:t>Olfaktorische Intervention nahezu verdreifachte Quote Händedesinfektion (8/43 18,6% vs. 20/52 38,5%; absolute Risikodifferenz 19,9 Prozentpunkte; OR=2,73, 95%-KI 1,09–7,40; p=0,04; NNT=5). Kein signifikanter Unterschied Handschuhgebrauch (OR=1,44, 95%-KI 0,62–3,45; p=0,40).</w:t>
      </w:r>
    </w:p>
    <w:p>
      <w:r>
        <w:rPr>
          <w:b/>
          <w:sz w:val="19"/>
        </w:rPr>
        <w:t xml:space="preserve">Übertragbarkeit: </w:t>
      </w:r>
      <w:r>
        <w:rPr>
          <w:sz w:val="19"/>
        </w:rPr>
        <w:t>Deutschland, universitäre Medizinerausbildung, Behavioral-Simulation für Patientensicherheit</w:t>
      </w:r>
    </w:p>
    <w:p>
      <w:r>
        <w:rPr>
          <w:color w:val="5A7D3A"/>
          <w:sz w:val="18"/>
        </w:rPr>
        <w:t>https://pubmed.ncbi.nlm.nih.gov/42617058/</w:t>
      </w:r>
    </w:p>
    <w:p>
      <w:pPr>
        <w:pStyle w:val="Heading2"/>
      </w:pPr>
      <w:r>
        <w:t>Polypharmazie vor Demenz-Diagnose: Prävalenz potenziell problematischer Medikamente in Norwegen erfasst</w:t>
      </w:r>
    </w:p>
    <w:p>
      <w:r>
        <w:rPr>
          <w:i/>
          <w:color w:val="666666"/>
          <w:sz w:val="18"/>
        </w:rPr>
        <w:t>Kersten H et al.  ·  PLoS One  ·  18.08.2026  ·  PMID 42611931</w:t>
      </w:r>
    </w:p>
    <w:p>
      <w:r>
        <w:t>Registergestützte retrospektive Kohortenstudie zur Prävalenz von Polypharmazie und potenziell unangemessenen Medikamenten (einschließlich kognitiv problematischer) im Jahr vor Diagnose von MCI/Demenz, verknüpfung norwegischer Gesundheitsregister 2014–2024.</w:t>
      </w:r>
    </w:p>
    <w:p>
      <w:r>
        <w:rPr>
          <w:b/>
        </w:rPr>
        <w:t xml:space="preserve">Ergebnis: </w:t>
      </w:r>
      <w:r>
        <w:t>Studienprotokoll (noch keine Ergebnisse), geplant: Verknüpfung Register der kognitiv Untersuchten mit Verschreibungsdaten und Komorbiditäten. Ziel: Prävalenz Polypharmazie und problematischer Medikamente bei diagnostizierter MCI/Demenz beschreiben, deprescribing-Interventionen informieren.</w:t>
      </w:r>
    </w:p>
    <w:p>
      <w:r>
        <w:rPr>
          <w:b/>
          <w:sz w:val="19"/>
        </w:rPr>
        <w:t xml:space="preserve">Übertragbarkeit: </w:t>
      </w:r>
      <w:r>
        <w:rPr>
          <w:sz w:val="19"/>
        </w:rPr>
        <w:t>Skandinavien (Norwegen), vergleichbares öffentliches Gesundheitssystem, nationale Registerintegration</w:t>
      </w:r>
    </w:p>
    <w:p>
      <w:r>
        <w:rPr>
          <w:color w:val="5A7D3A"/>
          <w:sz w:val="18"/>
        </w:rPr>
        <w:t>https://pubmed.ncbi.nlm.nih.gov/42611931/</w:t>
      </w:r>
    </w:p>
    <w:p>
      <w:pPr>
        <w:pStyle w:val="Heading2"/>
      </w:pPr>
      <w:r>
        <w:t>Masken senken nosokomiale Atemwegsinfektionen unabhängig von Transmissionsmodus am wirksamsten</w:t>
      </w:r>
    </w:p>
    <w:p>
      <w:r>
        <w:rPr>
          <w:i/>
          <w:color w:val="666666"/>
          <w:sz w:val="18"/>
        </w:rPr>
        <w:t>Gaufrès O et al.  ·  PLoS Comput Biol  ·  03.08.2026  ·  PMID 42546042</w:t>
      </w:r>
    </w:p>
    <w:p>
      <w:r>
        <w:t>Agent-basiertes stochastisches Modell respiratorischer Erreger-Transmission auf Intensivstationen verband empirische Kontaktdaten aus zwei französischen ICUs mit Simulationen kurz- und langstrecken-Transmission, um Interventionsstrategien zu vergleichen.</w:t>
      </w:r>
    </w:p>
    <w:p>
      <w:r>
        <w:rPr>
          <w:b/>
        </w:rPr>
        <w:t xml:space="preserve">Ergebnis: </w:t>
      </w:r>
      <w:r>
        <w:t>Universelles Maskentragen emergierte als wirksamste Strategie für beide Transmissionswege. Mit Lüftung in patientenzugänglichen Räumen konnten Masken mit begrenztem Wirkungsverlust reduziert werden. Interventionen für Beschäftigte (z. B. Lüftung nicht für Patienten zugänglich) senken indirekt Inzidenz bei Patienten stärker, wenn kombiniert mit gelockerten Maskenmaßnahmen.</w:t>
      </w:r>
    </w:p>
    <w:p>
      <w:r>
        <w:rPr>
          <w:b/>
          <w:sz w:val="19"/>
        </w:rPr>
        <w:t xml:space="preserve">Übertragbarkeit: </w:t>
      </w:r>
      <w:r>
        <w:rPr>
          <w:sz w:val="19"/>
        </w:rPr>
        <w:t>Frankreich, französische ICU-Struktur, Modellvalidierung mit Felddaten</w:t>
      </w:r>
    </w:p>
    <w:p>
      <w:r>
        <w:rPr>
          <w:color w:val="5A7D3A"/>
          <w:sz w:val="18"/>
        </w:rPr>
        <w:t>https://pubmed.ncbi.nlm.nih.gov/42546042/</w:t>
      </w:r>
    </w:p>
    <w:p>
      <w:pPr>
        <w:pStyle w:val="Heading2"/>
      </w:pPr>
      <w:r>
        <w:t>Piperacillin-Tazobactam-Resistenz und Mortalität: keine signifikante Assoziation nach Risikoanpassung</w:t>
      </w:r>
    </w:p>
    <w:p>
      <w:r>
        <w:rPr>
          <w:i/>
          <w:color w:val="666666"/>
          <w:sz w:val="18"/>
        </w:rPr>
        <w:t>Tusch E et al.  ·  JAMA Netw Open  ·  01.07.2026  ·  PMID 42485042</w:t>
      </w:r>
    </w:p>
    <w:p>
      <w:r>
        <w:t>Dänische nationale Registeranalyse von 34.379 Patienten mit E. coli oder K. pneumoniae Bacteriämie, Vergleich TZP-resistent vs. -empfindlich für 30-Tage-Mortalität.</w:t>
      </w:r>
    </w:p>
    <w:p>
      <w:r>
        <w:rPr>
          <w:b/>
        </w:rPr>
        <w:t xml:space="preserve">Ergebnis: </w:t>
      </w:r>
      <w:r>
        <w:t>E. coli: 5,9% TZP-resistent (1689/28.649), K. pneumoniae: 9,5% TZP-resistent (597/6314). Rohe HR E. coli 1,22 (95%-KI 1,08–1,38), K. pneumoniae 1,27 (95%-KI 1,05–1,52). Nach Anpassung auf Baseline-Risikofaktoren kein signifikanter Unterschied: E. coli aHR 1,09 (95%-KI 0,94–1,27), K. pneumoniae aHR 1,15 (95%-KI 0,94–1,41).</w:t>
      </w:r>
    </w:p>
    <w:p>
      <w:r>
        <w:rPr>
          <w:b/>
          <w:sz w:val="19"/>
        </w:rPr>
        <w:t xml:space="preserve">Übertragbarkeit: </w:t>
      </w:r>
      <w:r>
        <w:rPr>
          <w:sz w:val="19"/>
        </w:rPr>
        <w:t>Skandinavien (Dänemark), vergleichbares öffentliches Gesundheitssystem, nationale Vollzählung</w:t>
      </w:r>
    </w:p>
    <w:p>
      <w:r>
        <w:rPr>
          <w:color w:val="5A7D3A"/>
          <w:sz w:val="18"/>
        </w:rPr>
        <w:t>https://pubmed.ncbi.nlm.nih.gov/42485042/</w:t>
      </w:r>
    </w:p>
    <w:p>
      <w:pPr>
        <w:pStyle w:val="Heading1"/>
      </w:pPr>
      <w:r>
        <w:t>Aufgenommen am 05.09.2026</w:t>
      </w:r>
    </w:p>
    <w:p>
      <w:pPr>
        <w:pStyle w:val="Heading2"/>
      </w:pPr>
      <w:r>
        <w:t>Infektionskontrollprogramme erhöhen Händehygiene-Compliance um 30–40 Prozent</w:t>
      </w:r>
    </w:p>
    <w:p>
      <w:r>
        <w:rPr>
          <w:i/>
          <w:color w:val="666666"/>
          <w:sz w:val="18"/>
        </w:rPr>
        <w:t>Böff L et al.  ·  BMJ Open  ·  04.09.2026  ·  PMID 42697575</w:t>
      </w:r>
    </w:p>
    <w:p>
      <w:r>
        <w:t>Multinationalen Querschnittsstudie in 324 Gesundheitseinrichtungen in 4 subsaharischen Ländern (Februar–November 2022): 6.749 Gesundheitsarbeiter befragt zu Infektionskontrollmassnahmen, Exposures und Einhaltung von Händehygiene und Maskentragen.</w:t>
      </w:r>
    </w:p>
    <w:p>
      <w:r>
        <w:rPr>
          <w:b/>
        </w:rPr>
        <w:t xml:space="preserve">Ergebnis: </w:t>
      </w:r>
      <w:r>
        <w:t>51,4–83,3 % der Einrichtungen meldeten IPC-Programme (höher auf Tertiäreben). Nur 19,8 % hatten Handdesinfektionsmittel in jedem Zimmer. Vorhandensein eines IPC-Programms erhöhte Compliance bei Händehygiene (OR 1,3; 95%-KI 1,2–1,5) und Maskentragen (OR 1,4; 95%-KI 1,2–1,6). IPC-Training erhöhte Händehygiene-Compliance (OR 1,5; 95%-KI 1,3–1,7). Verfügbarkeit von Handdesinfektionsmittel und Masken war stärkster Prädiktor (OR 5,9 bzw. 2,3).</w:t>
      </w:r>
    </w:p>
    <w:p>
      <w:r>
        <w:rPr>
          <w:b/>
          <w:sz w:val="19"/>
        </w:rPr>
        <w:t xml:space="preserve">Übertragbarkeit: </w:t>
      </w:r>
      <w:r>
        <w:rPr>
          <w:sz w:val="19"/>
        </w:rPr>
        <w:t>Sub-Sahara-Afrika, aber Programmlogik auf deutsche Kliniken unter Ressourcenbedingungen übertragbar</w:t>
      </w:r>
    </w:p>
    <w:p>
      <w:r>
        <w:rPr>
          <w:color w:val="5A7D3A"/>
          <w:sz w:val="18"/>
        </w:rPr>
        <w:t>https://pubmed.ncbi.nlm.nih.gov/42697575/</w:t>
      </w:r>
    </w:p>
    <w:p>
      <w:pPr>
        <w:pStyle w:val="Heading2"/>
      </w:pPr>
      <w:r>
        <w:t>DACC-beschichtete Verbände bei pädiatrischen polymikrobiellen Wundinfektionen überlegen</w:t>
      </w:r>
    </w:p>
    <w:p>
      <w:r>
        <w:rPr>
          <w:i/>
          <w:color w:val="666666"/>
          <w:sz w:val="18"/>
        </w:rPr>
        <w:t>Ciprandi G et al.  ·  J Wound Care  ·  02.09.2026  ·  PMID 42695643</w:t>
      </w:r>
    </w:p>
    <w:p>
      <w:r>
        <w:t>Retrospektive Vergleichsstudie an zwei italienischen Pädiatrie-Zentren: 240 pädiatrische Patienten (120 pro Gruppe) mit Wundinfektionen, behandelt mit DACC-beschichteten oder Silberhydrofiber-Verbänden; Messung von Infektionsauflösung, Fortschritt, Mikrobiologie und Toleranz.</w:t>
      </w:r>
    </w:p>
    <w:p>
      <w:r>
        <w:rPr>
          <w:b/>
        </w:rPr>
        <w:t xml:space="preserve">Ergebnis: </w:t>
      </w:r>
      <w:r>
        <w:t>Infektionsauflösung: DACC 94,8 % vs. Silberhydrofiber 79,0 % (p=0,05). Keine Progression/Verschlechterung: DACC 4,2 % vs. 13,5 % (p=0,03) bzw. 2,5 % vs. 7,5 % (p=0,005). DACC-Verbände zeigten kürzere Wechselzeiten und bessere Verträglichkeit auf fragiler Haut. Häufig WHO-Prioritätserreger in Kulturen.</w:t>
      </w:r>
    </w:p>
    <w:p>
      <w:r>
        <w:rPr>
          <w:b/>
          <w:sz w:val="19"/>
        </w:rPr>
        <w:t xml:space="preserve">Übertragbarkeit: </w:t>
      </w:r>
      <w:r>
        <w:rPr>
          <w:sz w:val="19"/>
        </w:rPr>
        <w:t>Italien, deutschsprachiger Pädiatrie-Standard vergleichbar</w:t>
      </w:r>
    </w:p>
    <w:p>
      <w:r>
        <w:rPr>
          <w:color w:val="5A7D3A"/>
          <w:sz w:val="18"/>
        </w:rPr>
        <w:t>https://pubmed.ncbi.nlm.nih.gov/42695643/</w:t>
      </w:r>
    </w:p>
    <w:p>
      <w:pPr>
        <w:pStyle w:val="Heading2"/>
      </w:pPr>
      <w:r>
        <w:t>PDCA-Bundel für Händehygiene senkt nosokomiale Infektionen um 38 Prozent</w:t>
      </w:r>
    </w:p>
    <w:p>
      <w:r>
        <w:rPr>
          <w:i/>
          <w:color w:val="666666"/>
          <w:sz w:val="18"/>
        </w:rPr>
        <w:t>Tian F et al.  ·  J Vis Exp  ·  03.09.2026  ·  PMID 42695612</w:t>
      </w:r>
    </w:p>
    <w:p>
      <w:r>
        <w:t>Kontrollierte Vorher-Nachher-Studie in 16 Stationen eines chinesischen Krankenhauses: Acht Stationen erhielten ein Plan-Do-Check-Act-Paket zur Händehygiene-Governance, acht Kontrollabteilungen führten Routinemanagement durch; Messung über 12 Monate (6 Monate Prä-, 6 Monate Postintervention).</w:t>
      </w:r>
    </w:p>
    <w:p>
      <w:r>
        <w:rPr>
          <w:b/>
        </w:rPr>
        <w:t xml:space="preserve">Ergebnis: </w:t>
      </w:r>
      <w:r>
        <w:t>Händehygiene-Compliance stieg in der Interventionsgruppe von 66,2 % auf 83,2 %, in der Kontrollgruppe von 63,1 % auf 66,8 % (adjustierte Differenz-in-Differenzen-OR 2,38; 95%-KI 2,19–2,59; p&lt;0,001). Nosokomiale Infektionen sanken von 7,07 auf 4,37 pro 1.000 Patiententage (adjustierte Inzidenzratenratio 0,60; 95%-KI 0,52–0,69; p&lt;0,001). Das PDCA-Paket war mit verbesserter Compliance, niedrigerer Infektionsrate und höherer Pflegequalität verbunden.</w:t>
      </w:r>
    </w:p>
    <w:p>
      <w:r>
        <w:rPr>
          <w:b/>
          <w:sz w:val="19"/>
        </w:rPr>
        <w:t xml:space="preserve">Übertragbarkeit: </w:t>
      </w:r>
      <w:r>
        <w:rPr>
          <w:sz w:val="19"/>
        </w:rPr>
        <w:t>China, aber Governance-Zyklus übertragbar auf deutsches Stations-QM</w:t>
      </w:r>
    </w:p>
    <w:p>
      <w:r>
        <w:rPr>
          <w:color w:val="5A7D3A"/>
          <w:sz w:val="18"/>
        </w:rPr>
        <w:t>https://pubmed.ncbi.nlm.nih.gov/42695612/</w:t>
      </w:r>
    </w:p>
    <w:p>
      <w:pPr>
        <w:pStyle w:val="Heading2"/>
      </w:pPr>
      <w:r>
        <w:t>Antiseptika und Antibiotika beschichtete Katheter reduzieren zentrale Blutflussinfektionen</w:t>
      </w:r>
    </w:p>
    <w:p>
      <w:r>
        <w:rPr>
          <w:i/>
          <w:color w:val="666666"/>
          <w:sz w:val="18"/>
        </w:rPr>
        <w:t>Guirado-Vico AM et al.  ·  J Infus Nurs  ·  25.08.2026  ·  PMID 42695521</w:t>
      </w:r>
    </w:p>
    <w:p>
      <w:r>
        <w:t>Systematische Übersicht nach PRISMA-Standards von randomisierten Studien 2012–2024 zu Wirksamkeit von Antiseptika und Antibiotika bei Prävention von CLABSI auf Intensivstationen.</w:t>
      </w:r>
    </w:p>
    <w:p>
      <w:r>
        <w:rPr>
          <w:b/>
        </w:rPr>
        <w:t xml:space="preserve">Ergebnis: </w:t>
      </w:r>
      <w:r>
        <w:t>13 hochwertige Studien (CASP-Score ≥6) eingeschlossen. Antiseptika- und Antibiotika-beschichtete Katheter sowie Alkoholverschlüsse waren mit gesenkten CLABSI-Raten, kürzerer Liegedauer und geringeren Kosten verbunden. Alkohollock-Therapie zeigte inkonsistente Evidenz – kein eindeutiges Ergebnis zu empfehlen.</w:t>
      </w:r>
    </w:p>
    <w:p>
      <w:r>
        <w:rPr>
          <w:b/>
          <w:sz w:val="19"/>
        </w:rPr>
        <w:t xml:space="preserve">Übertragbarkeit: </w:t>
      </w:r>
      <w:r>
        <w:rPr>
          <w:sz w:val="19"/>
        </w:rPr>
        <w:t>USA/Kanada-Zentren, vergleichbare ICU-Standards, aber CLABSI-Definitionen und Kostenstrukturen unterscheiden sich</w:t>
      </w:r>
    </w:p>
    <w:p>
      <w:r>
        <w:rPr>
          <w:color w:val="5A7D3A"/>
          <w:sz w:val="18"/>
        </w:rPr>
        <w:t>https://pubmed.ncbi.nlm.nih.gov/42695521/</w:t>
      </w:r>
    </w:p>
    <w:p>
      <w:pPr>
        <w:pStyle w:val="Heading2"/>
      </w:pPr>
      <w:r>
        <w:t>ClearGuard-Katheter senkt Hemodialyse-assoziierte Blutflussinfektionen um 63 Prozent</w:t>
      </w:r>
    </w:p>
    <w:p>
      <w:r>
        <w:rPr>
          <w:i/>
          <w:color w:val="666666"/>
          <w:sz w:val="18"/>
        </w:rPr>
        <w:t>Holder M et al.  ·  J Infus Nurs  ·  25.08.2026  ·  PMID 42695518</w:t>
      </w:r>
    </w:p>
    <w:p>
      <w:r>
        <w:t>Retrospektive Beobachtungsstudie an einem US-Krankenhaus: Vergleich von ClearGuard HD-Antimikrobiellen Barrier-Caps mit Standardverbindungen (Tego+Curos); Messung von CLABSI-Raten und Standardisiertem Infektionsratio (SIR); Kostenanalyse.</w:t>
      </w:r>
    </w:p>
    <w:p>
      <w:r>
        <w:rPr>
          <w:b/>
        </w:rPr>
        <w:t xml:space="preserve">Ergebnis: </w:t>
      </w:r>
      <w:r>
        <w:t>CLABSI-Rate sank von 1,91/Monat/Ort (95%-KI 0,91–4,00) auf 0,71/Monat/Ort (95%-KI 0,33–1,53) – 63 % Reduktion (95%-KI 46–74 %; p&lt;0,00005). SIR sank von 0,721 auf 0,310 (57 % Reduktion). Geschätzter jährlicher Kostensparnis: 1,6 Millionen Dollar. Klinisch signifikante Senkung ohne aufgearbeitete Nebenwirkungen.</w:t>
      </w:r>
    </w:p>
    <w:p>
      <w:r>
        <w:rPr>
          <w:b/>
          <w:sz w:val="19"/>
        </w:rPr>
        <w:t xml:space="preserve">Übertragbarkeit: </w:t>
      </w:r>
      <w:r>
        <w:rPr>
          <w:sz w:val="19"/>
        </w:rPr>
        <w:t>USA, aber CLABSI-Mechanismus und Kostenlogik unter deutschem DRG-System geprüft werden</w:t>
      </w:r>
    </w:p>
    <w:p>
      <w:r>
        <w:rPr>
          <w:color w:val="5A7D3A"/>
          <w:sz w:val="18"/>
        </w:rPr>
        <w:t>https://pubmed.ncbi.nlm.nih.gov/42695518/</w:t>
      </w:r>
    </w:p>
    <w:p>
      <w:pPr>
        <w:pStyle w:val="Heading2"/>
      </w:pPr>
      <w:r>
        <w:t>Frühe Natrium- und Urinausscheidungs-Trajektorien sagen Sepsis-Mortalität voraus</w:t>
      </w:r>
    </w:p>
    <w:p>
      <w:r>
        <w:rPr>
          <w:i/>
          <w:color w:val="666666"/>
          <w:sz w:val="18"/>
        </w:rPr>
        <w:t>Zhuo X et al.  ·  J Glob Health  ·  04.09.2026  ·  PMID 42695367</w:t>
      </w:r>
    </w:p>
    <w:p>
      <w:r>
        <w:t>Retrospektive Kohortenstudie aus MIMIC-IV-Datenbank: 7.127 Sepsis-Patienten; Identifikation von Kombinationsmustern (Trajektorien) des Serumnatriums und der Urinausscheidung über vier 24-h-Perioden in den ersten 96 h nach ICU-Aufnahme mittels Group-Based Multi-Trajectory-Modelling; Cox-Regression zur 30-Tage-Mortalität.</w:t>
      </w:r>
    </w:p>
    <w:p>
      <w:r>
        <w:rPr>
          <w:b/>
        </w:rPr>
        <w:t xml:space="preserve">Ergebnis: </w:t>
      </w:r>
      <w:r>
        <w:t>Fünf Trajektorien-Subtypen identifiziert. Subtyp 1 (leichte initiale Natriumabnahme, Erholung, steigende Urinausscheidung): günstiger. Subtyp 2 (steigende Natrium, fallende Urinausscheidung): HR 1,85 (95%-KI 1,56–2,19; p&lt;0,001) für 30-Tage-Mortalität. Subtypen 4 und 5 auch erhöhtes Risiko (HR 1,31 bzw. 1,53). Frühe kombinierte Trajektorien unterstützen Risikostratifizierung.</w:t>
      </w:r>
    </w:p>
    <w:p>
      <w:r>
        <w:rPr>
          <w:b/>
          <w:sz w:val="19"/>
        </w:rPr>
        <w:t xml:space="preserve">Übertragbarkeit: </w:t>
      </w:r>
      <w:r>
        <w:rPr>
          <w:sz w:val="19"/>
        </w:rPr>
        <w:t>USA-Datenbank, aber physiologische Mechanismen universell, nur Outcome-Definition anpassen</w:t>
      </w:r>
    </w:p>
    <w:p>
      <w:r>
        <w:rPr>
          <w:color w:val="5A7D3A"/>
          <w:sz w:val="18"/>
        </w:rPr>
        <w:t>https://pubmed.ncbi.nlm.nih.gov/42695367/</w:t>
      </w:r>
    </w:p>
    <w:p>
      <w:pPr>
        <w:pStyle w:val="Heading2"/>
      </w:pPr>
      <w:r>
        <w:t>FDG-PET/CT identifiziert infektiöse Herde bei 66,7 % der Sepsis mit negativen Blutkulturen</w:t>
      </w:r>
    </w:p>
    <w:p>
      <w:r>
        <w:rPr>
          <w:i/>
          <w:color w:val="666666"/>
          <w:sz w:val="18"/>
        </w:rPr>
        <w:t>Kampe K et al.  ·  Crit Care Explor  ·  01.09.2026  ·  PMID 42640615</w:t>
      </w:r>
    </w:p>
    <w:p>
      <w:r>
        <w:t>Retrospektive Kohortenstudie an einer deutschen Uniklinik (Hamburg): 108 FDG-PET/CT-Untersuchungen bei 103 septischen Patienten mit ungeklärter Infektionsquelle trotz Mikrobiologie, Ultraschall und konventioneller Schnittbildgebung; Messung von Sensitivität, Spezifität und klinischen Konsequenzen.</w:t>
      </w:r>
    </w:p>
    <w:p>
      <w:r>
        <w:rPr>
          <w:b/>
        </w:rPr>
        <w:t xml:space="preserve">Ergebnis: </w:t>
      </w:r>
      <w:r>
        <w:t>FDG-PET/CT detektierte bestätigte infektiöse Herde in 72/108 Scans (66,7 %); Sensitivität 98,6 % (95%-KI 96,0–100,0), Spezifität 77,1 % (95%-KI 63,2–91,1). 71,3 % galten als klinisch informativ; 77 Scans führten zu zusätzlicher Diagnostik, 52 zu invasiven Eingriffen, 44 zur Antibiotika-Anpassung.</w:t>
      </w:r>
    </w:p>
    <w:p>
      <w:r>
        <w:rPr>
          <w:b/>
          <w:sz w:val="19"/>
        </w:rPr>
        <w:t xml:space="preserve">Übertragbarkeit: </w:t>
      </w:r>
      <w:r>
        <w:rPr>
          <w:sz w:val="19"/>
        </w:rPr>
        <w:t>Deutschland, deutsche Universitätsklinik, ICU-Infrastruktur direktübertragbar</w:t>
      </w:r>
    </w:p>
    <w:p>
      <w:r>
        <w:rPr>
          <w:color w:val="5A7D3A"/>
          <w:sz w:val="18"/>
        </w:rPr>
        <w:t>https://pubmed.ncbi.nlm.nih.gov/42640615/</w:t>
      </w:r>
    </w:p>
    <w:p>
      <w:pPr>
        <w:pStyle w:val="Heading1"/>
      </w:pPr>
      <w:r>
        <w:t>Aufgenommen am 04.09.2026</w:t>
      </w:r>
    </w:p>
    <w:p>
      <w:pPr>
        <w:pStyle w:val="Heading2"/>
      </w:pPr>
      <w:r>
        <w:t>Konsensusrahmen zur Qualität von Medikationsfehlerberichten: Neun Indikatoren für besseres Lernen</w:t>
      </w:r>
    </w:p>
    <w:p>
      <w:r>
        <w:rPr>
          <w:i/>
          <w:color w:val="666666"/>
          <w:sz w:val="18"/>
        </w:rPr>
        <w:t>Monshi M et al.  ·  BMJ Open  ·  02.09.2026  ·  PMID 42692500</w:t>
      </w:r>
    </w:p>
    <w:p>
      <w:r>
        <w:t>Expert-Konsens-Studie zu Qualitätsindikatoren in Medikationsfehler-Meldungen im NHS mit 11 britischen Sicherheitsfachleuten.</w:t>
      </w:r>
    </w:p>
    <w:p>
      <w:r>
        <w:rPr>
          <w:b/>
        </w:rPr>
        <w:t xml:space="preserve">Ergebnis: </w:t>
      </w:r>
      <w:r>
        <w:t>Neun Qualitätsindikatoren identifiziert; höchste Priorität: ausreichende Dokumentation von Patient und Kontext. Defizit: Medikationsfehlerberichte mangelt es an qualitativer Tiefe, was Lernen und Prävention beeinträchtigt.</w:t>
      </w:r>
    </w:p>
    <w:p>
      <w:r>
        <w:rPr>
          <w:b/>
          <w:sz w:val="19"/>
        </w:rPr>
        <w:t xml:space="preserve">Übertragbarkeit: </w:t>
      </w:r>
      <w:r>
        <w:rPr>
          <w:sz w:val="19"/>
        </w:rPr>
        <w:t>UK-Gesundheitssystem; comparable Melde- und Governance-strukturen mit Deutschland</w:t>
      </w:r>
    </w:p>
    <w:p>
      <w:r>
        <w:rPr>
          <w:color w:val="5A7D3A"/>
          <w:sz w:val="18"/>
        </w:rPr>
        <w:t>https://pubmed.ncbi.nlm.nih.gov/42692500/</w:t>
      </w:r>
    </w:p>
    <w:p>
      <w:pPr>
        <w:pStyle w:val="Heading2"/>
      </w:pPr>
      <w:r>
        <w:t>Blutkultur-Kontamination durch Schulung und Aufsicht um 68% gesenkt</w:t>
      </w:r>
    </w:p>
    <w:p>
      <w:r>
        <w:rPr>
          <w:i/>
          <w:color w:val="666666"/>
          <w:sz w:val="18"/>
        </w:rPr>
        <w:t>Bothra M et al.  ·  Natl Med J India  ·  Sept. 2026  ·  PMID 42690883</w:t>
      </w:r>
    </w:p>
    <w:p>
      <w:r>
        <w:t>Plan-Do-Study-Act-Audit zur Reduktion von Hautflora-Kontaminationen bei Blutkultur-Entnahme durch Schulung und Infektionskontroll-Überwachung.</w:t>
      </w:r>
    </w:p>
    <w:p>
      <w:r>
        <w:rPr>
          <w:b/>
        </w:rPr>
        <w:t xml:space="preserve">Ergebnis: </w:t>
      </w:r>
      <w:r>
        <w:t>Kontaminationsquote von 10,7% auf 3,4% gesenkt (p&lt;0,0001); 7.329 Blutkulturen untersucht (5.700 post-intervention). Maßnahmen: Standardisierte Schulung, Supervision jeder Entnahme, regelmäßiges Feedback bei Fehlern.</w:t>
      </w:r>
    </w:p>
    <w:p>
      <w:r>
        <w:rPr>
          <w:b/>
          <w:sz w:val="19"/>
        </w:rPr>
        <w:t xml:space="preserve">Übertragbarkeit: </w:t>
      </w:r>
      <w:r>
        <w:rPr>
          <w:sz w:val="19"/>
        </w:rPr>
        <w:t>Indien, aber Fehlermeldesystem und CIRS-Logik international übertragbar</w:t>
      </w:r>
    </w:p>
    <w:p>
      <w:r>
        <w:rPr>
          <w:color w:val="5A7D3A"/>
          <w:sz w:val="18"/>
        </w:rPr>
        <w:t>https://pubmed.ncbi.nlm.nih.gov/42690883/</w:t>
      </w:r>
    </w:p>
    <w:p>
      <w:pPr>
        <w:pStyle w:val="Heading2"/>
      </w:pPr>
      <w:r>
        <w:t>Rauchen, externe Fixation und OP-Dauer erhöhen Wundinfektionsrisiko nach Sprunggelenksosteosynthese</w:t>
      </w:r>
    </w:p>
    <w:p>
      <w:r>
        <w:rPr>
          <w:i/>
          <w:color w:val="666666"/>
          <w:sz w:val="18"/>
        </w:rPr>
        <w:t>Topalhafizoglu S et al.  ·  Acta Orthop  ·  03.09.2026  ·  PMID 42690130</w:t>
      </w:r>
    </w:p>
    <w:p>
      <w:r>
        <w:t>Retrospektive Kohortenstudie zu Risikofaktoren für oberflächliche und tiefe Wundinfektionen nach offener Reposition und interner Fixation von Sprunggelenkfrakturen in zwei nordischen Zentren.</w:t>
      </w:r>
    </w:p>
    <w:p>
      <w:r>
        <w:rPr>
          <w:b/>
        </w:rPr>
        <w:t xml:space="preserve">Ergebnis: </w:t>
      </w:r>
      <w:r>
        <w:t>11% Infektionsrate (86/781); 27% davon benötigten Revisionsoperation; 43% als Fraktur-assoziierte Infektionen klassifiziert. Signifikant erhöhte Chancen: Rauchen (aOR 2,3, CI 1,1–4,8; p=0,02), initiale externe Fixation (aOR 5,6, CI 1,7–17,6; p=0,004), längere Operationszeit (OR pro Min 1,0, p=0,004).</w:t>
      </w:r>
    </w:p>
    <w:p>
      <w:r>
        <w:rPr>
          <w:b/>
          <w:sz w:val="19"/>
        </w:rPr>
        <w:t xml:space="preserve">Übertragbarkeit: </w:t>
      </w:r>
      <w:r>
        <w:rPr>
          <w:sz w:val="19"/>
        </w:rPr>
        <w:t>Schweden, europäisches Versicherungs- und Qualitätskontrollsystem</w:t>
      </w:r>
    </w:p>
    <w:p>
      <w:r>
        <w:rPr>
          <w:color w:val="5A7D3A"/>
          <w:sz w:val="18"/>
        </w:rPr>
        <w:t>https://pubmed.ncbi.nlm.nih.gov/42690130/</w:t>
      </w:r>
    </w:p>
    <w:p>
      <w:pPr>
        <w:pStyle w:val="Heading2"/>
      </w:pPr>
      <w:r>
        <w:t>Strukturierte Übergabe OP-PICU senkte Handover-Zeit um 50% und Medikationsfehler auf null</w:t>
      </w:r>
    </w:p>
    <w:p>
      <w:r>
        <w:rPr>
          <w:i/>
          <w:color w:val="666666"/>
          <w:sz w:val="18"/>
        </w:rPr>
        <w:t>Sharadgah A et al.  ·  Nurs Crit Care  ·  Sept. 2026  ·  PMID 42687704</w:t>
      </w:r>
    </w:p>
    <w:p>
      <w:r>
        <w:t>Qualitätsverbesserungsprojekt zur Standardisierung der Übergabe vom Operationssaal auf die pädiatrische Intensivstation durch Checklisten, Drogenarchiv und strukturiertes Briefing.</w:t>
      </w:r>
    </w:p>
    <w:p>
      <w:r>
        <w:rPr>
          <w:b/>
        </w:rPr>
        <w:t xml:space="preserve">Ergebnis: </w:t>
      </w:r>
      <w:r>
        <w:t>Handover-Dauer von 15–20 min auf 8–10 min gesenkt (50%); Null Medikationsfehler in 77 Post-Interventions-Fällen vs. 6 in 96 Baseline-Fällen; Familienszufriedenheit stieg von 72% auf 90% (6 Monate); Personalzufriedenheit von 58% auf 95%; hämodynamische Instabilität durch Infusionsänderungen praktisch eliminiert.</w:t>
      </w:r>
    </w:p>
    <w:p>
      <w:r>
        <w:rPr>
          <w:b/>
          <w:sz w:val="19"/>
        </w:rPr>
        <w:t xml:space="preserve">Übertragbarkeit: </w:t>
      </w:r>
      <w:r>
        <w:rPr>
          <w:sz w:val="19"/>
        </w:rPr>
        <w:t>Tertiary pediatric hospital UAE; Handover-Risiken und Medikationsprozesse überall ähnlich</w:t>
      </w:r>
    </w:p>
    <w:p>
      <w:r>
        <w:rPr>
          <w:color w:val="5A7D3A"/>
          <w:sz w:val="18"/>
        </w:rPr>
        <w:t>https://pubmed.ncbi.nlm.nih.gov/42687704/</w:t>
      </w:r>
    </w:p>
    <w:p>
      <w:pPr>
        <w:pStyle w:val="Heading2"/>
      </w:pPr>
      <w:r>
        <w:t>Psychosoziale Faktoren und Selbstwirksamkeit treiben Antibiotic-Stewardship-Entscheidungen</w:t>
      </w:r>
    </w:p>
    <w:p>
      <w:r>
        <w:rPr>
          <w:i/>
          <w:color w:val="666666"/>
          <w:sz w:val="18"/>
        </w:rPr>
        <w:t>Liu X et al.  ·  Sci Rep  ·  13.08.2026  ·  PMID 42686801</w:t>
      </w:r>
    </w:p>
    <w:p>
      <w:r>
        <w:t>Längsschnittstudie mit zwei Wellen (11 Monate Abstand) bei 1.420 chinesischen Klinikern in Krankenhäusern aller Versorgungsstufen zur Vorhersage von Stewardship-konformen Reaktionen auf klinische Szenarien.</w:t>
      </w:r>
    </w:p>
    <w:p>
      <w:r>
        <w:rPr>
          <w:b/>
        </w:rPr>
        <w:t xml:space="preserve">Ergebnis: </w:t>
      </w:r>
      <w:r>
        <w:t>Höhere Stewardship-Scores assoziiert mit stärkeren begründeten Überzeugungen, weniger wahrgenommenen Barrieren, höherer Selbstwirksamkeit, besseren Kenntnissen und mehr Sozialsupport; TPB-Überzeugungen nicht unabhängig signifikant nach gegenseitiger Anpassung. Krankenhausebene moderierte Assoziationen (stärker in Tertiärkliniken). Interventionen sollten Kompetenz, Vertrauen, unterstützende Umgebung und institutionellen Kontext adressieren.</w:t>
      </w:r>
    </w:p>
    <w:p>
      <w:r>
        <w:rPr>
          <w:b/>
          <w:sz w:val="19"/>
        </w:rPr>
        <w:t xml:space="preserve">Übertragbarkeit: </w:t>
      </w:r>
      <w:r>
        <w:rPr>
          <w:sz w:val="19"/>
        </w:rPr>
        <w:t>China, aber psychosoziale Determinanten und Barrieren in Stewardship-Implementierung international relevant</w:t>
      </w:r>
    </w:p>
    <w:p>
      <w:r>
        <w:rPr>
          <w:color w:val="5A7D3A"/>
          <w:sz w:val="18"/>
        </w:rPr>
        <w:t>https://pubmed.ncbi.nlm.nih.gov/42686801/</w:t>
      </w:r>
    </w:p>
    <w:p>
      <w:pPr>
        <w:pStyle w:val="Heading2"/>
      </w:pPr>
      <w:r>
        <w:t>Modulare Kompetenz-orientierte Psychotherapie senkte Zwangsmittel und Isolierung in Psychiatrie</w:t>
      </w:r>
    </w:p>
    <w:p>
      <w:r>
        <w:rPr>
          <w:i/>
          <w:color w:val="666666"/>
          <w:sz w:val="18"/>
        </w:rPr>
        <w:t>Störkel LM et al.  ·  BMC Psychiatry  ·  05.08.2026  ·  PMID 42557550</w:t>
      </w:r>
    </w:p>
    <w:p>
      <w:r>
        <w:t>Naturalistisches Drei-Jahres-Vergleichsstudium zwischen zwei Kliniken zum Effekt einer kompetenzorientierten psychotherapeutischen Intervention auf Häufigkeit und Dauer von Fixierung und Isolierung.</w:t>
      </w:r>
    </w:p>
    <w:p>
      <w:r>
        <w:rPr>
          <w:b/>
        </w:rPr>
        <w:t xml:space="preserve">Ergebnis: </w:t>
      </w:r>
      <w:r>
        <w:t>An Standort A mit MCP-Implementierung: Wahrscheinlichkeit und Dauer von Fixierung sanken signifikant über Zeit, Isolierungsdauer sanken signifikant stärker als an Standort B; Assaults beschreibend rückläufig bei A, stabil bei B. Keine Indizien für erhöhtes Risiko; preliminary evidence für Machbarkeit und Nutzen.</w:t>
      </w:r>
    </w:p>
    <w:p>
      <w:r>
        <w:rPr>
          <w:b/>
          <w:sz w:val="19"/>
        </w:rPr>
        <w:t xml:space="preserve">Übertragbarkeit: </w:t>
      </w:r>
      <w:r>
        <w:rPr>
          <w:sz w:val="19"/>
        </w:rPr>
        <w:t>Deutschland (zwei Vitos-Standorte Hessen/Hessen); vergleichbar Qualitätsmessungen in Psychiatrie</w:t>
      </w:r>
    </w:p>
    <w:p>
      <w:r>
        <w:rPr>
          <w:color w:val="5A7D3A"/>
          <w:sz w:val="18"/>
        </w:rPr>
        <w:t>https://pubmed.ncbi.nlm.nih.gov/42557550/</w:t>
      </w:r>
    </w:p>
    <w:p>
      <w:pPr>
        <w:pStyle w:val="Heading1"/>
      </w:pPr>
      <w:r>
        <w:t>Aufgenommen am 03.09.2026</w:t>
      </w:r>
    </w:p>
    <w:p>
      <w:pPr>
        <w:pStyle w:val="Heading2"/>
      </w:pPr>
      <w:r>
        <w:t>Flucloxacillin erhöht akute Nierenschädigung bei Staphylokokken-Bakteriämie: OR 2,37 gegenüber Cefazolin</w:t>
      </w:r>
    </w:p>
    <w:p>
      <w:r>
        <w:rPr>
          <w:i/>
          <w:color w:val="666666"/>
          <w:sz w:val="18"/>
        </w:rPr>
        <w:t>Sinkeler FS et al.  ·  J Antimicrob Chemother  ·  01.09.2026  ·  PMID 42683513</w:t>
      </w:r>
    </w:p>
    <w:p>
      <w:r>
        <w:t>Retrospektive multizentrische Kohortenstudie aus drei niederländischen Krankenhäusern mit 1408 erwachsenen Patienten mit Staphylococcus-aureus-Bakteriämie (SAB), behandelt mit Flucloxacillin oder Cefazolin; akute Nierenschädigung (AKI) Inzidenz, Schweregrad, Zeitpunkt und Erholung verglichen.</w:t>
      </w:r>
    </w:p>
    <w:p>
      <w:r>
        <w:rPr>
          <w:b/>
        </w:rPr>
        <w:t xml:space="preserve">Ergebnis: </w:t>
      </w:r>
      <w:r>
        <w:t>AKI bei 483 Patienten (34,3 %). Größere AKI-Häufigkeit unter Flucloxacillin (466/1324 [35,2 %] vs. 17/84 [20,2 %]; p=0,004). Nach multivariater Adjustierung blieb Flucloxacillin mit höherem AKI-Risiko assoziiert (adjustiertes OR 2,37; 95 %-KI 1,30-4,55). Mediane Zeit bis AKI 1,3 Tage; Erholung innerhalb 30 Tagen: 81,7 % bei Stadium 1 vs. 50,5 % bei Stadium 3. Initiale Flucloxacillin-Dosierung war mit AKI-Auftreten nicht assoziiert, was auf strukturelle Nephrotoxizität hindeutet.</w:t>
      </w:r>
    </w:p>
    <w:p>
      <w:r>
        <w:rPr>
          <w:b/>
          <w:sz w:val="19"/>
        </w:rPr>
        <w:t xml:space="preserve">Übertragbarkeit: </w:t>
      </w:r>
      <w:r>
        <w:rPr>
          <w:sz w:val="19"/>
        </w:rPr>
        <w:t>Niederlande, vergleichbares deutsches Versicherungssystem, direkt anwendbar</w:t>
      </w:r>
    </w:p>
    <w:p>
      <w:r>
        <w:rPr>
          <w:color w:val="5A7D3A"/>
          <w:sz w:val="18"/>
        </w:rPr>
        <w:t>https://pubmed.ncbi.nlm.nih.gov/42683513/</w:t>
      </w:r>
    </w:p>
    <w:p>
      <w:pPr>
        <w:pStyle w:val="Heading2"/>
      </w:pPr>
      <w:r>
        <w:t>Hochvolumen-Dialysestationen mit &gt;3000 Fällen/Monat haben 2,6-fach erhöhtes Risiko für Transportsicherheitsvorfälle</w:t>
      </w:r>
    </w:p>
    <w:p>
      <w:r>
        <w:rPr>
          <w:i/>
          <w:color w:val="666666"/>
          <w:sz w:val="18"/>
        </w:rPr>
        <w:t>Li J et al.  ·  Front Public Health  ·  18.08.2026  ·  PMID 42682581</w:t>
      </w:r>
    </w:p>
    <w:p>
      <w:r>
        <w:t>Multizentrische Querschnittsstudie an 135 chinesischen Dialysestationen mit 4253 Pflegekräften charakterisiert Sicherheitsvorfälle während intrahospitaler Transporte von 135.459 Hämodialysepatienten über 12 Monate; Organisationsfaktoren und Meldekultur evaluiert.</w:t>
      </w:r>
    </w:p>
    <w:p>
      <w:r>
        <w:rPr>
          <w:b/>
        </w:rPr>
        <w:t xml:space="preserve">Ergebnis: </w:t>
      </w:r>
      <w:r>
        <w:t>268 Sicherheitsvorfälle (0,2 % der Transporte) gemeldet. Gerätefehler 61,14 %, Patientenunfälle 45,24 %, Blut-/Blutprodukt-Ereignisse 43,94 %, Gas-/Sauerstoff-Probleme 42,39 %, Verabreichungsfehler 41,83 %. Unabhängiger Risikofaktor: &gt;3000 Dialyse-Verfahren/Monat (OR 2,580; 95 %-KI 1,198-5,556; p=0,015). Verbesserte Meldequoten durch Qualitätskontrollmaßnahmen (OR 3,540; 95 %-KI 1,604-7,814; p=0,002) zeigen Meldekultur-Effekt.</w:t>
      </w:r>
    </w:p>
    <w:p>
      <w:r>
        <w:rPr>
          <w:b/>
          <w:sz w:val="19"/>
        </w:rPr>
        <w:t xml:space="preserve">Übertragbarkeit: </w:t>
      </w:r>
      <w:r>
        <w:rPr>
          <w:sz w:val="19"/>
        </w:rPr>
        <w:t>China, Dialysevolumen-Risiko ist systemunabhängig, Fehlermeldesystem funktional vergleichbar</w:t>
      </w:r>
    </w:p>
    <w:p>
      <w:r>
        <w:rPr>
          <w:color w:val="5A7D3A"/>
          <w:sz w:val="18"/>
        </w:rPr>
        <w:t>https://pubmed.ncbi.nlm.nih.gov/42682581/</w:t>
      </w:r>
    </w:p>
    <w:p>
      <w:pPr>
        <w:pStyle w:val="Heading2"/>
      </w:pPr>
      <w:r>
        <w:t>Pharmakist-geführtes Antibiotic Stewardship reduziert Breitspektrum-Einsatz um 35-40 % in der Notaufnahme</w:t>
      </w:r>
    </w:p>
    <w:p>
      <w:r>
        <w:rPr>
          <w:i/>
          <w:color w:val="666666"/>
          <w:sz w:val="18"/>
        </w:rPr>
        <w:t>Althubyani AA et al.  ·  J Am Coll Clin Pharm  ·  Sept. 2026  ·  PMID 42682024</w:t>
      </w:r>
    </w:p>
    <w:p>
      <w:r>
        <w:t>Retrospektive Kohortenanalyse von 324 Notaufnahme-Patienten mit empirischer Antibiose vor (162 Patienten) und nach Implementierung (162 Patienten) eines Pharmazistenantibiotic-Stewardship-Programms; Eignung der empirischen Therapie und Antibiotikaanwendung gemessen.</w:t>
      </w:r>
    </w:p>
    <w:p>
      <w:r>
        <w:rPr>
          <w:b/>
        </w:rPr>
        <w:t xml:space="preserve">Ergebnis: </w:t>
      </w:r>
      <w:r>
        <w:t>Angepasste empirische Therapieeignung unterschied sich nicht signifikant (49,4 % vs. 53,7 %; p=0,44). Aber signifikante Reduktion unnötiger Pseudomonasabdeckung (54,9 % vs. 35,2 %; p&lt;0,001), MRSA-Abdeckung (23,5 % vs. 13,6 %; p=0,02), und Breitspektrumantibiotika (Piperacillin/Tazobactam 22,3 % vs. 14,5 %; p=0,02). Vancomycin-Dosierung besserte sich von 52,6 % auf 77,3 % Angemessenheit (p=0,06). Unabhängige Prädiktor für unangemessene Therapie: häusliche Wundversorgung (aOR 5,36), männliches Geschlecht (aOR 1,72), gastrointestinale Infektion (aOR 2,67).</w:t>
      </w:r>
    </w:p>
    <w:p>
      <w:r>
        <w:rPr>
          <w:b/>
          <w:sz w:val="19"/>
        </w:rPr>
        <w:t xml:space="preserve">Übertragbarkeit: </w:t>
      </w:r>
      <w:r>
        <w:rPr>
          <w:sz w:val="19"/>
        </w:rPr>
        <w:t>USA-System, aber Antibiotic-Stewardship-Befund ist unabhängig vom Haftungsrecht</w:t>
      </w:r>
    </w:p>
    <w:p>
      <w:r>
        <w:rPr>
          <w:color w:val="5A7D3A"/>
          <w:sz w:val="18"/>
        </w:rPr>
        <w:t>https://pubmed.ncbi.nlm.nih.gov/42682024/</w:t>
      </w:r>
    </w:p>
    <w:p>
      <w:pPr>
        <w:pStyle w:val="Heading2"/>
      </w:pPr>
      <w:r>
        <w:t>Automatisierte Überwachung von Wundinfektionen mit Routine-Krankenhauskaten senkt Hygieneaufwand</w:t>
      </w:r>
    </w:p>
    <w:p>
      <w:r>
        <w:rPr>
          <w:i/>
          <w:color w:val="666666"/>
          <w:sz w:val="18"/>
        </w:rPr>
        <w:t>Sons D et al.  ·  Antimicrob Resist Infect Control  ·  31.08.2026  ·  PMID 42681650</w:t>
      </w:r>
    </w:p>
    <w:p>
      <w:r>
        <w:t>Studie evaluiert einen Algorithmus (sAReS-SSI) zur automatisierten Erkennung von postoperativen Wundinfektionen aus Routinedaten anhand von ICD-10/OPS-Katalogen und validiert das Verfahren gegen Bettseitenüberwachung auf orthopädisch-traumatologischen Stationen.</w:t>
      </w:r>
    </w:p>
    <w:p>
      <w:r>
        <w:rPr>
          <w:b/>
        </w:rPr>
        <w:t xml:space="preserve">Ergebnis: </w:t>
      </w:r>
      <w:r>
        <w:t>Der Algorithmus identifizierte 94,7 % der Wundinfektionen (Sensitivität 94,7 %, Spezifität 94,3 %, negativer prädiktiver Wert 99,8 %). Die automatisierte Analyse reduziert den Arbeitsaufwand für Hygienefachkräfte erheblich und erweitert die Erfassungsrate gegenüber den derzeit verwendeten OP-KISS-Berichten.</w:t>
      </w:r>
    </w:p>
    <w:p>
      <w:r>
        <w:rPr>
          <w:b/>
          <w:sz w:val="19"/>
        </w:rPr>
        <w:t xml:space="preserve">Übertragbarkeit: </w:t>
      </w:r>
      <w:r>
        <w:rPr>
          <w:sz w:val="19"/>
        </w:rPr>
        <w:t>Deutschland, Routinedaten nach Infektionsschutzgesetz und Hygienerichtlinien, direkt übertragbar</w:t>
      </w:r>
    </w:p>
    <w:p>
      <w:r>
        <w:rPr>
          <w:color w:val="5A7D3A"/>
          <w:sz w:val="18"/>
        </w:rPr>
        <w:t>https://pubmed.ncbi.nlm.nih.gov/42681650/</w:t>
      </w:r>
    </w:p>
    <w:p>
      <w:pPr>
        <w:pStyle w:val="Heading2"/>
      </w:pPr>
      <w:r>
        <w:t>Vergleich von Meropenem und Piperacillin/Tazobactam bei Sepsis: Feasibility-Phase mit vier erfüllten Kriterien</w:t>
      </w:r>
    </w:p>
    <w:p>
      <w:r>
        <w:rPr>
          <w:i/>
          <w:color w:val="666666"/>
          <w:sz w:val="18"/>
        </w:rPr>
        <w:t>Meier NF et al.  ·  Acta Anaesthesiol Scand  ·  Okt. 2026  ·  PMID 42674465</w:t>
      </w:r>
    </w:p>
    <w:p>
      <w:r>
        <w:t>Integrierte Feasibility-Phase der EMPRESS-Studie vergleicht empirische Therapie mit Meropenem versus Piperacillin/Tazobactam bei intensivpflichtiger Sepsis in 10 dänischen ICUs (Juni-Dezember 2025); 200 von 284 gescreenten Patienten (70,4 %) randomisiert.</w:t>
      </w:r>
    </w:p>
    <w:p>
      <w:r>
        <w:rPr>
          <w:b/>
        </w:rPr>
        <w:t xml:space="preserve">Ergebnis: </w:t>
      </w:r>
      <w:r>
        <w:t>Vier von fünf Feasibility-Kriterien erfüllt: Rekrutierung 70,4 % (Schwelle ≥50 %), Studienabschluss 5,5 Monate (Schwelle &lt;12 Monate), Protokolladherence 81,0 % (Schwelle ≥75 %), Datenverfügbarkeit initial 85,5 % (unter Schwelle 95 %, verbesserte sich auf 95,8 % in letztem Monat). 30-Tages-Mortalität 30,5 %, schwere unerwünschte Reaktionen 4,0 %. Studie wird ohne Änderungen fortgesetzt.</w:t>
      </w:r>
    </w:p>
    <w:p>
      <w:r>
        <w:rPr>
          <w:b/>
          <w:sz w:val="19"/>
        </w:rPr>
        <w:t xml:space="preserve">Übertragbarkeit: </w:t>
      </w:r>
      <w:r>
        <w:rPr>
          <w:sz w:val="19"/>
        </w:rPr>
        <w:t>Skandinavien, vergleichbare Intensivmedizin, Entschädigungssystem ohne Verschuldensnachweis</w:t>
      </w:r>
    </w:p>
    <w:p>
      <w:r>
        <w:rPr>
          <w:color w:val="5A7D3A"/>
          <w:sz w:val="18"/>
        </w:rPr>
        <w:t>https://pubmed.ncbi.nlm.nih.gov/42674465/</w:t>
      </w:r>
    </w:p>
    <w:p>
      <w:pPr>
        <w:pStyle w:val="Heading2"/>
      </w:pPr>
      <w:r>
        <w:t>Öffentliche Kampagnen verdreifachen Patientenbeschwerden über Sicherheitsmängel in Kroatien</w:t>
      </w:r>
    </w:p>
    <w:p>
      <w:r>
        <w:rPr>
          <w:i/>
          <w:color w:val="666666"/>
          <w:sz w:val="18"/>
        </w:rPr>
        <w:t>Krstulović J et al.  ·  Croat Med J  ·  31.08.2026  ·  PMID 42669912</w:t>
      </w:r>
    </w:p>
    <w:p>
      <w:r>
        <w:t>Retrospektive Analyse von 36 Patientenbeschwerden an ein Komitee zum Schutz von Patientenrechten (2022-2024) nach WHO-Patientensicherheitscharta klassifiziert; Auswirkung von Öffentlichkeitskampagnen auf Meldequoten evaluiert.</w:t>
      </w:r>
    </w:p>
    <w:p>
      <w:r>
        <w:rPr>
          <w:b/>
        </w:rPr>
        <w:t xml:space="preserve">Ergebnis: </w:t>
      </w:r>
      <w:r>
        <w:t>Nach Kampagnen zur Sensibilisierung (2023-2024) stieg die Zahl der codierten Charta-Verletzungen von 11 (2022) auf 36 (2024), monatliche Meldequoten verdreifachten sich (Ratenratio 3,3; 95 %-KI 1,7-6,4; p=0,001). Häufigste Verstöße: Recht auf zeitgerechte und angemessene Versorgung (38 %), Würde und Datenschutz (22 %), Akteneinsicht (12 %).</w:t>
      </w:r>
    </w:p>
    <w:p>
      <w:r>
        <w:rPr>
          <w:b/>
          <w:sz w:val="19"/>
        </w:rPr>
        <w:t xml:space="preserve">Übertragbarkeit: </w:t>
      </w:r>
      <w:r>
        <w:rPr>
          <w:sz w:val="19"/>
        </w:rPr>
        <w:t>Croatie, Transparenz und Patientenbeteiligung sind Länder-übergreifend relevant</w:t>
      </w:r>
    </w:p>
    <w:p>
      <w:r>
        <w:rPr>
          <w:color w:val="5A7D3A"/>
          <w:sz w:val="18"/>
        </w:rPr>
        <w:t>https://pubmed.ncbi.nlm.nih.gov/42669912/</w:t>
      </w:r>
    </w:p>
    <w:p>
      <w:pPr>
        <w:pStyle w:val="Heading2"/>
      </w:pPr>
      <w:r>
        <w:t>Procalcitonin ≥0,85 ng/mL unterscheidet Sepsis mit Blutkultur-Nachweis mit 84 % Spezifität</w:t>
      </w:r>
    </w:p>
    <w:p>
      <w:r>
        <w:rPr>
          <w:i/>
          <w:color w:val="666666"/>
          <w:sz w:val="18"/>
        </w:rPr>
        <w:t>Pozzessere P et al.  ·  Medicina (Kaunas)  ·  20.07.2026  ·  PMID 42512947</w:t>
      </w:r>
    </w:p>
    <w:p>
      <w:r>
        <w:t>Retrospektive Analyse von 912 Patienten mit Sepsis/septischem Schock in der Notaufnahme (März 2023-Dezember 2025); Blutkultur-Positivität und deren prognostische Bedeutung für 28-, 90- und 365-Tages-Überleben evaluiert.</w:t>
      </w:r>
    </w:p>
    <w:p>
      <w:r>
        <w:rPr>
          <w:b/>
        </w:rPr>
        <w:t xml:space="preserve">Ergebnis: </w:t>
      </w:r>
      <w:r>
        <w:t>602 Kulturen positiv, 310 negativ. Procalcitonin zeigte gute Diskriminierungsfähigkeit (AUC 0,785; Cutoff 0,85 ng/mL; Sensitivität 59,8 %, Spezifität 83,8 %). Kultur-positive Patienten hatten niedrigere Überlebensraten (28-Tage: 72,9 % vs. 85,9 %; 365-Tage: 44,3 % vs. 61,2 %), aber nach adjustierter Cox-Regression war Kultur-Positivität kein unabhängiger Prädiktor (HR 1,46; p=0,092); Alter und SOFA-Score blieben signifikant.</w:t>
      </w:r>
    </w:p>
    <w:p>
      <w:r>
        <w:rPr>
          <w:b/>
          <w:sz w:val="19"/>
        </w:rPr>
        <w:t xml:space="preserve">Übertragbarkeit: </w:t>
      </w:r>
      <w:r>
        <w:rPr>
          <w:sz w:val="19"/>
        </w:rPr>
        <w:t>Italien, Notfallmedizin mit Blutkulturstandard, europäisches System</w:t>
      </w:r>
    </w:p>
    <w:p>
      <w:r>
        <w:rPr>
          <w:color w:val="5A7D3A"/>
          <w:sz w:val="18"/>
        </w:rPr>
        <w:t>https://pubmed.ncbi.nlm.nih.gov/42512947/</w:t>
      </w:r>
    </w:p>
    <w:p>
      <w:pPr>
        <w:pStyle w:val="Heading1"/>
      </w:pPr>
      <w:r>
        <w:t>Aufgenommen am 02.09.2026</w:t>
      </w:r>
    </w:p>
    <w:p>
      <w:pPr>
        <w:pStyle w:val="Heading2"/>
      </w:pPr>
      <w:r>
        <w:t>Infektionsprävention: Mangelhafte Gesamtausstattung und Zeitdruck hindern Pflegekräfte an Einhaltung von COVID-19-Schutzmaßnahmen</w:t>
      </w:r>
    </w:p>
    <w:p>
      <w:r>
        <w:rPr>
          <w:i/>
          <w:color w:val="666666"/>
          <w:sz w:val="18"/>
        </w:rPr>
        <w:t>Houghton C et al.  ·  Cochrane Database Syst Rev  ·  01.09.2026  ·  PMID 42677895</w:t>
      </w:r>
    </w:p>
    <w:p>
      <w:r>
        <w:t>Systematischer Review mit qualitativer Evidenz-Synthese aus 26 Studien (davon 7 aus wohlhabenden Ländern) zu Faktoren, die Einhaltung von Infektionsschutzrichtlinien durch Fachpersonal beeinflussen.</w:t>
      </w:r>
    </w:p>
    <w:p>
      <w:r>
        <w:rPr>
          <w:b/>
        </w:rPr>
        <w:t xml:space="preserve">Ergebnis: </w:t>
      </w:r>
      <w:r>
        <w:t>Strukturierte Ergebnisse mit unterschiedlicher Konfidenz: Hohe Konfidenz (n=12 Befunde) – Managementunterstützung, klare Richtlinien-Kommunikation und Schulung fördern Einhaltung; Zeitdruck, Personalmangel und PPE-Mangel behindern sie. Mittlere Konfidenz (n=12), niedrige (n=3). 27 Faktoren insgesamt benannt.</w:t>
      </w:r>
    </w:p>
    <w:p>
      <w:r>
        <w:rPr>
          <w:b/>
          <w:sz w:val="19"/>
        </w:rPr>
        <w:t xml:space="preserve">Übertragbarkeit: </w:t>
      </w:r>
      <w:r>
        <w:rPr>
          <w:sz w:val="19"/>
        </w:rPr>
        <w:t>26 Studien mit globaler Abdeckung (Asien, Afrika, Europa); größtenteils 2020–2024 während Pandemie.</w:t>
      </w:r>
    </w:p>
    <w:p>
      <w:r>
        <w:rPr>
          <w:color w:val="5A7D3A"/>
          <w:sz w:val="18"/>
        </w:rPr>
        <w:t>https://pubmed.ncbi.nlm.nih.gov/42677895/</w:t>
      </w:r>
    </w:p>
    <w:p>
      <w:pPr>
        <w:pStyle w:val="Heading2"/>
      </w:pPr>
      <w:r>
        <w:t>Apotheker-Stewardship erhöht Antibiotika-Angemessenheit bei Kindern mit Pneumonie von 60% auf 87%</w:t>
      </w:r>
    </w:p>
    <w:p>
      <w:r>
        <w:rPr>
          <w:i/>
          <w:color w:val="666666"/>
          <w:sz w:val="18"/>
        </w:rPr>
        <w:t>Nguyen T et al.  ·  J Am Coll Clin Pharm  ·  Sept. 2026  ·  PMID 42676278</w:t>
      </w:r>
    </w:p>
    <w:p>
      <w:r>
        <w:t>Quasi-experimentelle Vorher-Nachher-Studie in Vietnam mit 560 Kindern (280 vor, 280 nach Intervention), die einen pharmazeutisch geleiteten Antibiotic-Stewardship-Einsatz mit Schulung und Audit evaluierte.</w:t>
      </w:r>
    </w:p>
    <w:p>
      <w:r>
        <w:rPr>
          <w:b/>
        </w:rPr>
        <w:t xml:space="preserve">Ergebnis: </w:t>
      </w:r>
      <w:r>
        <w:t>Gesamtangemessenheit stieg von 60,36% auf 86,79% (p&lt;0,001; Δ=26,4 Prozentpunkte). Dosierungs-Angemessenheit 67,14% → 90,71% (p&lt;0,001), Dosierungsintervall 90,36% → 98,57% (p&lt;0,001). Prädiktoren für unangemessene Verordnung vor Intervention: Alter &lt;12 Monate (OR 2,1, 95%-KI 1,3–3,5), Kombinationstherapie (OR 4,6, 95%-KI 1,75–12,1).</w:t>
      </w:r>
    </w:p>
    <w:p>
      <w:r>
        <w:rPr>
          <w:b/>
          <w:sz w:val="19"/>
        </w:rPr>
        <w:t xml:space="preserve">Übertragbarkeit: </w:t>
      </w:r>
      <w:r>
        <w:rPr>
          <w:sz w:val="19"/>
        </w:rPr>
        <w:t>Vietnam (Mittel-/Niedrigeinkommen-Land), struktur-kulturelle Unterschiede; Sicherheits-Intervention breit übertragbar.</w:t>
      </w:r>
    </w:p>
    <w:p>
      <w:r>
        <w:rPr>
          <w:color w:val="5A7D3A"/>
          <w:sz w:val="18"/>
        </w:rPr>
        <w:t>https://pubmed.ncbi.nlm.nih.gov/42676278/</w:t>
      </w:r>
    </w:p>
    <w:p>
      <w:pPr>
        <w:pStyle w:val="Heading2"/>
      </w:pPr>
      <w:r>
        <w:t>Multiresistente Klebsiella pneumoniae: Nosokomialer Infektionsanstieg in Polen um das 50-Fache</w:t>
      </w:r>
    </w:p>
    <w:p>
      <w:r>
        <w:rPr>
          <w:i/>
          <w:color w:val="666666"/>
          <w:sz w:val="18"/>
        </w:rPr>
        <w:t>Filipkowska M et al.  ·  Front Cell Infect Microbiol  ·  30.07.2026  ·  PMID 42597730</w:t>
      </w:r>
    </w:p>
    <w:p>
      <w:r>
        <w:t>Beobachtungsstudie mit Aggregatdaten aller polnischen ITS von 2019–2023, die Risikoänderungen für nosokomialen Infektionen mit Methicillin-resistenten und anderen multiresistenten Erregern mittels standardisierter Infektionsrate (SIR) evaluierte.</w:t>
      </w:r>
    </w:p>
    <w:p>
      <w:r>
        <w:rPr>
          <w:b/>
        </w:rPr>
        <w:t xml:space="preserve">Ergebnis: </w:t>
      </w:r>
      <w:r>
        <w:t>MBL/NDM-produzierende K. pneumoniae zeigten die stärkste Risikoerhöhung (SIR in Niederschlesien und Schlesien &gt;50×höher als 2019-Baseline); regionale Variation erheblich (p&lt;0,05). E. faecalis-VRE in Lublin mehrfach über Baseline; MRSA erhöht in Lublin, Subkarpaten, Schlesien.</w:t>
      </w:r>
    </w:p>
    <w:p>
      <w:r>
        <w:rPr>
          <w:b/>
          <w:sz w:val="19"/>
        </w:rPr>
        <w:t xml:space="preserve">Übertragbarkeit: </w:t>
      </w:r>
      <w:r>
        <w:rPr>
          <w:sz w:val="19"/>
        </w:rPr>
        <w:t>Polen, europa-nächst an Deutschland; öffentlicher Gesundheitsdienst und Meldepflichten ähnlich.</w:t>
      </w:r>
    </w:p>
    <w:p>
      <w:r>
        <w:rPr>
          <w:color w:val="5A7D3A"/>
          <w:sz w:val="18"/>
        </w:rPr>
        <w:t>https://pubmed.ncbi.nlm.nih.gov/42597730/</w:t>
      </w:r>
    </w:p>
    <w:p>
      <w:pPr>
        <w:pStyle w:val="Heading2"/>
      </w:pPr>
      <w:r>
        <w:t>Terminal-Komplement-Inhibition verstärkt Nierenversagen und Blutungsrisiko bei septischem Schock</w:t>
      </w:r>
    </w:p>
    <w:p>
      <w:r>
        <w:rPr>
          <w:i/>
          <w:color w:val="666666"/>
          <w:sz w:val="18"/>
        </w:rPr>
        <w:t>Vahldieck C et al.  ·  J Crit Care  ·  29.07.2026  ·  PMID 42526359</w:t>
      </w:r>
    </w:p>
    <w:p>
      <w:r>
        <w:t>Propensity-Score-adjustierte Kohorten-Studie mit 1.276 Patienten (638 per Arm) in separatem Matching, die C5-Inhibitoren (Eculizumab/Ravulizumab) bei septischem Schock bezüglich unerwünschter Ereignisse evaluierte.</w:t>
      </w:r>
    </w:p>
    <w:p>
      <w:r>
        <w:rPr>
          <w:b/>
        </w:rPr>
        <w:t xml:space="preserve">Ergebnis: </w:t>
      </w:r>
      <w:r>
        <w:t>Unter Komplement-Inhibition: Thrombozytopenie 20,3% vs. 8,9% (p&lt;0,001), akutes Nierenversagen 25,0% vs. 13,3% (p&lt;0,001), thrombotische Ereignisse 7,8% vs. 4,7% (p=0,021). Nierenersatztherapie 8,3% vs. 5,1% (p=0,026). 30-Tage-Mortalität ohne signifikanten Unterschied (nicht berichtet).</w:t>
      </w:r>
    </w:p>
    <w:p>
      <w:r>
        <w:rPr>
          <w:b/>
          <w:sz w:val="19"/>
        </w:rPr>
        <w:t xml:space="preserve">Übertragbarkeit: </w:t>
      </w:r>
      <w:r>
        <w:rPr>
          <w:sz w:val="19"/>
        </w:rPr>
        <w:t>USA-basiert (TriNetX-Netzwerk), Haftungsklima unterscheidet sich; nur Sicherheitsbefunde übertragbar.</w:t>
      </w:r>
    </w:p>
    <w:p>
      <w:r>
        <w:rPr>
          <w:color w:val="5A7D3A"/>
          <w:sz w:val="18"/>
        </w:rPr>
        <w:t>https://pubmed.ncbi.nlm.nih.gov/42526359/</w:t>
      </w:r>
    </w:p>
    <w:p>
      <w:pPr>
        <w:pStyle w:val="Heading2"/>
      </w:pPr>
      <w:r>
        <w:t>Potenziell unangemessene Verschreibungen bei Erwachsenen mittleren Alters erhöhen ambulante Inanspruchnahme um 3%</w:t>
      </w:r>
    </w:p>
    <w:p>
      <w:r>
        <w:rPr>
          <w:i/>
          <w:color w:val="666666"/>
          <w:sz w:val="18"/>
        </w:rPr>
        <w:t>Naughton M et al.  ·  BMJ Open  ·  27.07.2026  ·  PMID 42509012</w:t>
      </w:r>
    </w:p>
    <w:p>
      <w:r>
        <w:t>Prospektive Kohortenstudie in Großbritannien mit 1,2 Mio. Patienten, die prüfte, ob unangemessene Medikationen zu mehr Hausarzt-Kontakten und erhöhter Sterblichkeit führen.</w:t>
      </w:r>
    </w:p>
    <w:p>
      <w:r>
        <w:rPr>
          <w:b/>
        </w:rPr>
        <w:t xml:space="preserve">Ergebnis: </w:t>
      </w:r>
      <w:r>
        <w:t>13,9% der Patienten erhielten potenziell unangemessene Medikationen (PIP). Diese führten zu erhöhter ambulanter Inanspruchnahme im Folgejahr (IRR 1,03, 95%-KI 1,02–1,03; p &lt; 0,001), aber nicht zu erhöhter Sterblichkeit (HR 0,99, 95%-KI 0,93–1,04). Polypharmazie (≥10 Medikamente) war stärkster Risikofaktor für PIP (OR 6,93).</w:t>
      </w:r>
    </w:p>
    <w:p>
      <w:r>
        <w:rPr>
          <w:b/>
          <w:sz w:val="19"/>
        </w:rPr>
        <w:t xml:space="preserve">Übertragbarkeit: </w:t>
      </w:r>
      <w:r>
        <w:rPr>
          <w:sz w:val="19"/>
        </w:rPr>
        <w:t>Großbritannien mit vergleichbarem ambulanten System; deutsche Primärdaten begrenzt verfügbar.</w:t>
      </w:r>
    </w:p>
    <w:p>
      <w:r>
        <w:rPr>
          <w:color w:val="5A7D3A"/>
          <w:sz w:val="18"/>
        </w:rPr>
        <w:t>https://pubmed.ncbi.nlm.nih.gov/42509012/</w:t>
      </w:r>
    </w:p>
    <w:p>
      <w:pPr>
        <w:pStyle w:val="Heading2"/>
      </w:pPr>
      <w:r>
        <w:t>Digitales Entscheidungs-Werkzeug reduziert Antibiotika-Verordnungen in belgischen Praxen um 5%</w:t>
      </w:r>
    </w:p>
    <w:p>
      <w:r>
        <w:rPr>
          <w:i/>
          <w:color w:val="666666"/>
          <w:sz w:val="18"/>
        </w:rPr>
        <w:t>Verbakel JY et al.  ·  BMJ Open  ·  24.07.2026  ·  PMID 42498468</w:t>
      </w:r>
    </w:p>
    <w:p>
      <w:r>
        <w:t>Gestaffelte Cluster-RCT mit 36–48 belgischen Hausarztpraxen, die eine integrierte Entscheidungshilfe (PSS-Tool) zur Antibiotic-Stewardship mit Arzneiempfehlungen testete.</w:t>
      </w:r>
    </w:p>
    <w:p>
      <w:r>
        <w:rPr>
          <w:b/>
        </w:rPr>
        <w:t xml:space="preserve">Ergebnis: </w:t>
      </w:r>
      <w:r>
        <w:t>Zielparameter ist die Reduzierung der Antibiotika-Verordnungsrate um mindestens 5% (Baseline: absolute Häufigkeit nicht berichtet). 80% Teststärke mit n=36–48 Praxen geplant. Prozess-Evaluierung kombiniert Nutzungsdaten und qualitative Interviews. Ethik-Approval: 10.10.2025; Registrierung NCT07347015.</w:t>
      </w:r>
    </w:p>
    <w:p>
      <w:r>
        <w:rPr>
          <w:b/>
          <w:sz w:val="19"/>
        </w:rPr>
        <w:t xml:space="preserve">Übertragbarkeit: </w:t>
      </w:r>
      <w:r>
        <w:rPr>
          <w:sz w:val="19"/>
        </w:rPr>
        <w:t>Belgien, ähnliche EU-Struktur, vergleichbare Primärversorgung mit Deutschland.</w:t>
      </w:r>
    </w:p>
    <w:p>
      <w:r>
        <w:rPr>
          <w:color w:val="5A7D3A"/>
          <w:sz w:val="18"/>
        </w:rPr>
        <w:t>https://pubmed.ncbi.nlm.nih.gov/42498468/</w:t>
      </w:r>
    </w:p>
    <w:p>
      <w:pPr>
        <w:pStyle w:val="Heading1"/>
      </w:pPr>
      <w:r>
        <w:t>Aufgenommen am 01.09.2026</w:t>
      </w:r>
    </w:p>
    <w:p>
      <w:pPr>
        <w:pStyle w:val="Heading2"/>
      </w:pPr>
      <w:r>
        <w:t>Probiotika halbierten ventilatorassoziierte Pneumonie bei kritisch kranken Kindern</w:t>
      </w:r>
    </w:p>
    <w:p>
      <w:r>
        <w:rPr>
          <w:i/>
          <w:color w:val="666666"/>
          <w:sz w:val="18"/>
        </w:rPr>
        <w:t>Tiwari SK et al.  ·  J Trop Pediatr  ·  20.08.2026  ·  PMID 42674774</w:t>
      </w:r>
    </w:p>
    <w:p>
      <w:r>
        <w:t>Systematische Übersicht und Metaanalyse von acht randomisierten Studien zu Probiotika bei kritisch kranken Kindern auf Intensivstationen, mit Fokus auf Pneumonie, Sterblichkeit und Liegedauer.</w:t>
      </w:r>
    </w:p>
    <w:p>
      <w:r>
        <w:rPr>
          <w:b/>
        </w:rPr>
        <w:t xml:space="preserve">Ergebnis: </w:t>
      </w:r>
      <w:r>
        <w:t>Probiotika reduzierten ventilatorassoziierte Pneumonie signifikant (RR 0,47; 95%-KI 0,35–0,64; p&lt;0,0001; hohe Evidenzsicherheit, absolute Risikoreduktion 21,9 %, Number needed to treat ≈5); kein Effekt auf Sterblichkeit (RR 0,85; 95%-KI 0,66–1,11; p=0,24) oder Liegedauer. Keine schwerwiegenden unerwünschten Ereignisse.</w:t>
      </w:r>
    </w:p>
    <w:p>
      <w:r>
        <w:rPr>
          <w:b/>
          <w:sz w:val="19"/>
        </w:rPr>
        <w:t xml:space="preserve">Übertragbarkeit: </w:t>
      </w:r>
      <w:r>
        <w:rPr>
          <w:sz w:val="19"/>
        </w:rPr>
        <w:t>International, 744 Kinder in acht RCTs; Mechanismus und Sicherheit sind übertragbar</w:t>
      </w:r>
    </w:p>
    <w:p>
      <w:r>
        <w:rPr>
          <w:color w:val="5A7D3A"/>
          <w:sz w:val="18"/>
        </w:rPr>
        <w:t>https://pubmed.ncbi.nlm.nih.gov/42674774/</w:t>
      </w:r>
    </w:p>
    <w:p>
      <w:pPr>
        <w:pStyle w:val="Heading2"/>
      </w:pPr>
      <w:r>
        <w:t>Duty of Candour schafft Vertrauen nur bei echter Empathie und Aufarbeitung</w:t>
      </w:r>
    </w:p>
    <w:p>
      <w:r>
        <w:rPr>
          <w:i/>
          <w:color w:val="666666"/>
          <w:sz w:val="18"/>
        </w:rPr>
        <w:t>Adams C et al.  ·  Health Expect  ·  Okt. 2026  ·  PMID 42670882</w:t>
      </w:r>
    </w:p>
    <w:p>
      <w:r>
        <w:t>Qualitative und quantitative Studie mit 80 australischen Patienten zu Wirkung und Verständnis der gesetzlichen Aufklärungspflicht nach schweren Sicherheitsereignissen (Statutory Duty of Candour), zwei Jahre nach Einführung in Victoria.</w:t>
      </w:r>
    </w:p>
    <w:p>
      <w:r>
        <w:rPr>
          <w:b/>
        </w:rPr>
        <w:t xml:space="preserve">Ergebnis: </w:t>
      </w:r>
      <w:r>
        <w:t>61 % ohne Vorwissen zur SDC; 78 % bewerteten sie als nützlich. Unter denen mit Ereignis berichteten über die Hälfte mangelnde Offenheit, über die Hälfte keine Nachbesprechung; Zufriedenheit mit Gesprächen nur 26 %. Sechs Themen: Candour als moralischer Halt, anhaltende Skepsis, begrenzte Zugänglichkeit, echte Entschuldigung als Vertrauensreparatur, emotionale Belastung und Organisationslernefähigkeit.</w:t>
      </w:r>
    </w:p>
    <w:p>
      <w:r>
        <w:rPr>
          <w:b/>
          <w:sz w:val="19"/>
        </w:rPr>
        <w:t xml:space="preserve">Übertragbarkeit: </w:t>
      </w:r>
      <w:r>
        <w:rPr>
          <w:sz w:val="19"/>
        </w:rPr>
        <w:t>Australien/Vereinigtes Königreich, andere Haftungsordnung, ggf. Transferlimits bei deutschem ärztlichem Haftungsrecht</w:t>
      </w:r>
    </w:p>
    <w:p>
      <w:r>
        <w:rPr>
          <w:color w:val="5A7D3A"/>
          <w:sz w:val="18"/>
        </w:rPr>
        <w:t>https://pubmed.ncbi.nlm.nih.gov/42670882/</w:t>
      </w:r>
    </w:p>
    <w:p>
      <w:pPr>
        <w:pStyle w:val="Heading2"/>
      </w:pPr>
      <w:r>
        <w:t>Urbanisierungsgerechte Risikoanpassung verbessert Reanimationsergebnisse deutschlandweit</w:t>
      </w:r>
    </w:p>
    <w:p>
      <w:r>
        <w:rPr>
          <w:i/>
          <w:color w:val="666666"/>
          <w:sz w:val="18"/>
        </w:rPr>
        <w:t>Lee D et al.  ·  BMC Emerg Med  ·  10.08.2026  ·  PMID 42587273</w:t>
      </w:r>
    </w:p>
    <w:p>
      <w:r>
        <w:t>Deutsche Registerstudie zur Kalibrierung von Risikoanpassungsmodellen für Rückkehr zur Spontanzirkulation (ROSC) nach präklinischem Herzstillstand, unter Berücksichtigung von Urbanisierungsgrad.</w:t>
      </w:r>
    </w:p>
    <w:p>
      <w:r>
        <w:rPr>
          <w:b/>
        </w:rPr>
        <w:t xml:space="preserve">Ergebnis: </w:t>
      </w:r>
      <w:r>
        <w:t>Beim refittierten RACA-Modell zeigte sich Fehlkalibrierung nach Urbanisierung: Überschätzung in ländlichen Gebieten, Unterschätzung in Metropolen und Großstädten. Das neue URACA-Modell hob diese Verzerrungen auf, ohne Diskriminationsfähigkeit einzubußen (AUROC 0,735 vs. 0,737; kontinuierliche Netzreklassifizierung 9,4 %).</w:t>
      </w:r>
    </w:p>
    <w:p>
      <w:r>
        <w:rPr>
          <w:b/>
          <w:sz w:val="19"/>
        </w:rPr>
        <w:t xml:space="preserve">Übertragbarkeit: </w:t>
      </w:r>
      <w:r>
        <w:rPr>
          <w:sz w:val="19"/>
        </w:rPr>
        <w:t>Deutschland, 145.780 Patienten aus Deutschem Reanimations-Register 2014–2023</w:t>
      </w:r>
    </w:p>
    <w:p>
      <w:r>
        <w:rPr>
          <w:color w:val="5A7D3A"/>
          <w:sz w:val="18"/>
        </w:rPr>
        <w:t>https://pubmed.ncbi.nlm.nih.gov/42587273/</w:t>
      </w:r>
    </w:p>
    <w:p>
      <w:pPr>
        <w:pStyle w:val="Heading2"/>
      </w:pPr>
      <w:r>
        <w:t>Patientenerfahrung und Sicherheit bleiben in Studien unverbunden</w:t>
      </w:r>
    </w:p>
    <w:p>
      <w:r>
        <w:rPr>
          <w:i/>
          <w:color w:val="666666"/>
          <w:sz w:val="18"/>
        </w:rPr>
        <w:t>King J et al.  ·  BMJ Open Qual  ·  03.08.2026  ·  PMID 42547244</w:t>
      </w:r>
    </w:p>
    <w:p>
      <w:r>
        <w:t>Systematische Übersicht über 30 Studien zum Zusammenhang zwischen Patientenerlebnis und Patientensicherheit, mit Cochrane-Qualitätsbewertung und GRADE-Evidenzgraduierung.</w:t>
      </w:r>
    </w:p>
    <w:p>
      <w:r>
        <w:rPr>
          <w:b/>
        </w:rPr>
        <w:t xml:space="preserve">Ergebnis: </w:t>
      </w:r>
      <w:r>
        <w:t>Heterogene Evidenz: 7 Studien zeigten konsistente positive Assoziationen, 6 keine Assoziation, 17 gemischte Befunde je nach Sicherheitsmaßstab. Kausale Richtung unklar; Forschungslücken in primärer und psychiatrischer Versorgung sowie zu Themen wie Zeitnaher Zugang und Angehörigenbeteiligung.</w:t>
      </w:r>
    </w:p>
    <w:p>
      <w:r>
        <w:rPr>
          <w:b/>
          <w:sz w:val="19"/>
        </w:rPr>
        <w:t xml:space="preserve">Übertragbarkeit: </w:t>
      </w:r>
      <w:r>
        <w:rPr>
          <w:sz w:val="19"/>
        </w:rPr>
        <w:t>Internationale Perspektive, Primärforschung überwiegend aus angelsächsischen Ländern</w:t>
      </w:r>
    </w:p>
    <w:p>
      <w:r>
        <w:rPr>
          <w:color w:val="5A7D3A"/>
          <w:sz w:val="18"/>
        </w:rPr>
        <w:t>https://pubmed.ncbi.nlm.nih.gov/42547244/</w:t>
      </w:r>
    </w:p>
    <w:p>
      <w:pPr>
        <w:pStyle w:val="Heading2"/>
      </w:pPr>
      <w:r>
        <w:t>Ärztliche Mikrobiologie als Stewardship-Partner senkt Antibiotikafehlgebrauch</w:t>
      </w:r>
    </w:p>
    <w:p>
      <w:r>
        <w:rPr>
          <w:i/>
          <w:color w:val="666666"/>
          <w:sz w:val="18"/>
        </w:rPr>
        <w:t>Nilsen E  ·  APMIS  ·  Aug. 2026  ·  PMID 42522544</w:t>
      </w:r>
    </w:p>
    <w:p>
      <w:r>
        <w:t>Norwegische Klinikstudie zur Wahrnehmung ärztlicher Beratung durch klinische Mikrobiologinnen und Mikrobiologen in der Infektionsbehandlung.</w:t>
      </w:r>
    </w:p>
    <w:p>
      <w:r>
        <w:rPr>
          <w:b/>
        </w:rPr>
        <w:t xml:space="preserve">Ergebnis: </w:t>
      </w:r>
      <w:r>
        <w:t>90,7 % der infektionsbehandelnden Ärztinnen und Ärzte (n=228) bewerteten mikrobiologe Stewardship als hochgradig wertvoll; 88,8 % berichteten bessere Antibiotikaverwendung, 87,0 % schnellere oder sicherere klinische Entscheidungen; 97,7 % befürworteten eine aktivere klinische Beratungsrolle von Fachärztinnen und Fachärzten für Mikrobiologie.</w:t>
      </w:r>
    </w:p>
    <w:p>
      <w:r>
        <w:rPr>
          <w:b/>
          <w:sz w:val="19"/>
        </w:rPr>
        <w:t xml:space="preserve">Übertragbarkeit: </w:t>
      </w:r>
      <w:r>
        <w:rPr>
          <w:sz w:val="19"/>
        </w:rPr>
        <w:t>Skandinavien, vergleichbare Infektionsbehandlung in Akutkrankenhäusern</w:t>
      </w:r>
    </w:p>
    <w:p>
      <w:r>
        <w:rPr>
          <w:color w:val="5A7D3A"/>
          <w:sz w:val="18"/>
        </w:rPr>
        <w:t>https://pubmed.ncbi.nlm.nih.gov/42522544/</w:t>
      </w:r>
    </w:p>
    <w:p>
      <w:pPr>
        <w:pStyle w:val="Heading2"/>
      </w:pPr>
      <w:r>
        <w:t>Schülerfehler im klinischen Unterricht: häufige Gelegenheiten mit geringem Lernertrag</w:t>
      </w:r>
    </w:p>
    <w:p>
      <w:r>
        <w:rPr>
          <w:i/>
          <w:color w:val="666666"/>
          <w:sz w:val="18"/>
        </w:rPr>
        <w:t>Rubisch HPK et al.  ·  BMC Med Educ  ·  28.07.2026  ·  PMID 42522036</w:t>
      </w:r>
    </w:p>
    <w:p>
      <w:r>
        <w:t>Beobachtungsstudie zu Lernfehlern bei Bettunterricht auf Stationen in Innerer Medizin, Neurologie und Orthopädie, gemessen an Häufigkeit, Typ und Lehrreaktionen.</w:t>
      </w:r>
    </w:p>
    <w:p>
      <w:r>
        <w:rPr>
          <w:b/>
        </w:rPr>
        <w:t xml:space="preserve">Ergebnis: </w:t>
      </w:r>
      <w:r>
        <w:t>Im Schnitt 4,9 Fehler pro Stunde Unterricht; Reproduktionsfehler überwiegend bei theoretischem Wissen und klinischem Denken, Anwendungsfehler bei körperlicher Untersuchung. Nur 72 % der praktischen Untersuchungszeit war beaufsichtigt; Lehrreaktionen (Erklärungstiefe, Feedback-Direktheit) unterschieden sich nicht signifikant mit oder ohne Patientenpräsenz.</w:t>
      </w:r>
    </w:p>
    <w:p>
      <w:r>
        <w:rPr>
          <w:b/>
          <w:sz w:val="19"/>
        </w:rPr>
        <w:t xml:space="preserve">Übertragbarkeit: </w:t>
      </w:r>
      <w:r>
        <w:rPr>
          <w:sz w:val="19"/>
        </w:rPr>
        <w:t>Deutschland, 36 Bettunterricht-Sitzungen (78,4 h) an deutschem Universitätsklinikum</w:t>
      </w:r>
    </w:p>
    <w:p>
      <w:r>
        <w:rPr>
          <w:color w:val="5A7D3A"/>
          <w:sz w:val="18"/>
        </w:rPr>
        <w:t>https://pubmed.ncbi.nlm.nih.gov/42522036/</w:t>
      </w:r>
    </w:p>
    <w:p>
      <w:pPr>
        <w:pStyle w:val="Heading1"/>
      </w:pPr>
      <w:r>
        <w:t>Aufgenommen am 31.08.2026</w:t>
      </w:r>
    </w:p>
    <w:p>
      <w:pPr>
        <w:pStyle w:val="Heading2"/>
      </w:pPr>
      <w:r>
        <w:t>Klinischer Apotheker reduzierte Arzneimittel-Probleme in Ambulanzrezepten um 43 Prozentpunkte</w:t>
      </w:r>
    </w:p>
    <w:p>
      <w:r>
        <w:rPr>
          <w:i/>
          <w:color w:val="666666"/>
          <w:sz w:val="18"/>
        </w:rPr>
        <w:t>Le TT et al.  ·  J Am Coll Clin Pharm  ·  Sept. 2026  ·  PMID 42669613</w:t>
      </w:r>
    </w:p>
    <w:p>
      <w:r>
        <w:t>Vietnamesische quasi-experimentelle Studie eines multifaktoriellen Apotheker-Interventionsprogramms (prospektive Rezeptüberprüfung, Feedback, Schulung) mit Vorher-Nachher-Analyse in Tertiärklinik.</w:t>
      </w:r>
    </w:p>
    <w:p>
      <w:r>
        <w:rPr>
          <w:b/>
        </w:rPr>
        <w:t xml:space="preserve">Ergebnis: </w:t>
      </w:r>
      <w:r>
        <w:t>Rezepte mit mindestens einem Arzneimittelproblem sank von 65,7 % auf 37,3 % (p&lt;0,001); mittlere Probleme pro Rezept von 1,22 auf 0,55 (p&lt;0,001). Potentiell schädliche Arzneimittelprobleme sanken von 2,4 % auf 1,7 % (p=0,04). Hauptreduktionen bei Dosis- und Einnahmezeitproblemen. Angepasste Odds Ratio 0,29 (95%-KI 0,26–0,32).</w:t>
      </w:r>
    </w:p>
    <w:p>
      <w:r>
        <w:rPr>
          <w:b/>
          <w:sz w:val="19"/>
        </w:rPr>
        <w:t xml:space="preserve">Übertragbarkeit: </w:t>
      </w:r>
      <w:r>
        <w:rPr>
          <w:sz w:val="19"/>
        </w:rPr>
        <w:t>Vietnam; Modell auf deutsches Krankenhaus-Ambulanzmanagement und Praxen übertragbar</w:t>
      </w:r>
    </w:p>
    <w:p>
      <w:r>
        <w:rPr>
          <w:color w:val="5A7D3A"/>
          <w:sz w:val="18"/>
        </w:rPr>
        <w:t>https://pubmed.ncbi.nlm.nih.gov/42669613/</w:t>
      </w:r>
    </w:p>
    <w:p>
      <w:pPr>
        <w:pStyle w:val="Heading2"/>
      </w:pPr>
      <w:r>
        <w:t>Strukturierte Apotheker-Intervention mit Workflow-Prompts senkte Piperacillin/Tazobactam-Gebrauch um 22 %</w:t>
      </w:r>
    </w:p>
    <w:p>
      <w:r>
        <w:rPr>
          <w:i/>
          <w:color w:val="666666"/>
          <w:sz w:val="18"/>
        </w:rPr>
        <w:t>Masuda K et al.  ·  Korean J Med Educ  ·  31.08.2026  ·  PMID 42669608</w:t>
      </w:r>
    </w:p>
    <w:p>
      <w:r>
        <w:t>Japanische retrospektive Vorher-Nachher-Studie einer Apotheker-geleiteten Schulungsintervention mit verhaltenspsychologischen Prinzipien zur Beeinflussung der Antibiotikaverordnung.</w:t>
      </w:r>
    </w:p>
    <w:p>
      <w:r>
        <w:rPr>
          <w:b/>
        </w:rPr>
        <w:t xml:space="preserve">Ergebnis: </w:t>
      </w:r>
      <w:r>
        <w:t>Piperacillin/Tazobactam-Gebrauch sank um 22,3 % in Days of Therapy (DOT) und zeigt konsistente Reduktionen bei saisonalen Vergleichen. Antibiotic Use Density (AUD) sank parallel. Alle Ärzte absolvierten Schulungsvideo und Nach-Test. Workflow-integrierte Reflexions-Prompts bei jedem Verordnen zeigten Wirkung.</w:t>
      </w:r>
    </w:p>
    <w:p>
      <w:r>
        <w:rPr>
          <w:b/>
          <w:sz w:val="19"/>
        </w:rPr>
        <w:t xml:space="preserve">Übertragbarkeit: </w:t>
      </w:r>
      <w:r>
        <w:rPr>
          <w:sz w:val="19"/>
        </w:rPr>
        <w:t>Japan, beobachtet auch in Deutschland (Antibiotic Stewardship), auf Praxen übertragbar</w:t>
      </w:r>
    </w:p>
    <w:p>
      <w:r>
        <w:rPr>
          <w:color w:val="5A7D3A"/>
          <w:sz w:val="18"/>
        </w:rPr>
        <w:t>https://pubmed.ncbi.nlm.nih.gov/42669608/</w:t>
      </w:r>
    </w:p>
    <w:p>
      <w:pPr>
        <w:pStyle w:val="Heading2"/>
      </w:pPr>
      <w:r>
        <w:t>DBS-Screening erfasst 56 % aller HCV-Infektionen, vermisst aber 2,7 % durch niedrige Viruslast</w:t>
      </w:r>
    </w:p>
    <w:p>
      <w:r>
        <w:rPr>
          <w:i/>
          <w:color w:val="666666"/>
          <w:sz w:val="18"/>
        </w:rPr>
        <w:t>Capelli N et al.  ·  Liver Int  ·  Okt. 2026  ·  PMID 42661472</w:t>
      </w:r>
    </w:p>
    <w:p>
      <w:r>
        <w:t>Fünfjährige Evaluierung von Hepatitis-C-Blutfleck-Screening in französischen Schadensreduktionszentren mit vergleichender Analyse zu Plasma-RNA-Konzentrationen.</w:t>
      </w:r>
    </w:p>
    <w:p>
      <w:r>
        <w:rPr>
          <w:b/>
        </w:rPr>
        <w:t xml:space="preserve">Ergebnis: </w:t>
      </w:r>
      <w:r>
        <w:t>Unter 1.552 gescreenten Personen wurden 428 (27,6 %) als HCV-RNA-positiv identifiziert. Etwa 2,7 % der Infektionen (ca. 12 Fälle) wurden aufgrund der Nachweisgrenze von 1.252 IU/mL vermisst. DBS-Tests machten 56,4 % aller laborgestützten HCV-Diagnosen aus. Die modeste Reduktion der analytischen Sensitivität wird durch den deutlich erhöhten Zugang in unterversorgten Populationen aufgewogen.</w:t>
      </w:r>
    </w:p>
    <w:p>
      <w:r>
        <w:rPr>
          <w:b/>
          <w:sz w:val="19"/>
        </w:rPr>
        <w:t xml:space="preserve">Übertragbarkeit: </w:t>
      </w:r>
      <w:r>
        <w:rPr>
          <w:sz w:val="19"/>
        </w:rPr>
        <w:t>Frankreich, dezentrale Diagnostik; Ansatz auf vulnerable Gruppen übertragbar</w:t>
      </w:r>
    </w:p>
    <w:p>
      <w:r>
        <w:rPr>
          <w:color w:val="5A7D3A"/>
          <w:sz w:val="18"/>
        </w:rPr>
        <w:t>https://pubmed.ncbi.nlm.nih.gov/42661472/</w:t>
      </w:r>
    </w:p>
    <w:p>
      <w:pPr>
        <w:pStyle w:val="Heading2"/>
      </w:pPr>
      <w:r>
        <w:t>Penicilline bei vancomycin-sensiblen Enterococcus-Bakteriämien: effektiv, aber keine Überlegenheit ohne Fokuskontrolle</w:t>
      </w:r>
    </w:p>
    <w:p>
      <w:r>
        <w:rPr>
          <w:i/>
          <w:color w:val="666666"/>
          <w:sz w:val="18"/>
        </w:rPr>
        <w:t>Landrock T et al.  ·  Transbound Emerg Dis  ·  2026  ·  PMID 42661338</w:t>
      </w:r>
    </w:p>
    <w:p>
      <w:r>
        <w:t>Retrospektive deutsche Kohortenstudie an 127 Patienten mit Enterococcus-Bakteriämie, Vergleich Penicillin-basierte versus alternative Therapien.</w:t>
      </w:r>
    </w:p>
    <w:p>
      <w:r>
        <w:rPr>
          <w:b/>
        </w:rPr>
        <w:t xml:space="preserve">Ergebnis: </w:t>
      </w:r>
      <w:r>
        <w:t>30-Tage-Mortalität: Penicilline 13,4 % vs. Alternativen 40 % (p=0,001); mediane Hospitalsdauer 21 vs. 35 Tage. Bei multivariater Analyse mit Propensity Scores war nur septischer Schock (aOR 23,53) unabhängig mit Sterblichkeit assoziiert, nicht die Therapieklasse. Keine Unterschiede bei Rezidivbakteriämie oder Nebenwirkungen.</w:t>
      </w:r>
    </w:p>
    <w:p>
      <w:r>
        <w:rPr>
          <w:b/>
          <w:sz w:val="19"/>
        </w:rPr>
        <w:t xml:space="preserve">Übertragbarkeit: </w:t>
      </w:r>
      <w:r>
        <w:rPr>
          <w:sz w:val="19"/>
        </w:rPr>
        <w:t>Deutschland/Österreich, direkt auf Krankenhausinfektion anwendbar</w:t>
      </w:r>
    </w:p>
    <w:p>
      <w:r>
        <w:rPr>
          <w:color w:val="5A7D3A"/>
          <w:sz w:val="18"/>
        </w:rPr>
        <w:t>https://pubmed.ncbi.nlm.nih.gov/42661338/</w:t>
      </w:r>
    </w:p>
    <w:p>
      <w:pPr>
        <w:pStyle w:val="Heading2"/>
      </w:pPr>
      <w:r>
        <w:t>Netzwerk-gestützte Sentinelüberwachung erkannte Clostridioides difficile 27 % schneller mit nur 15 % Sequenzierung</w:t>
      </w:r>
    </w:p>
    <w:p>
      <w:r>
        <w:rPr>
          <w:i/>
          <w:color w:val="666666"/>
          <w:sz w:val="18"/>
        </w:rPr>
        <w:t>Pople D et al.  ·  Nat Commun  ·  26.08.2026  ·  PMID 42649138</w:t>
      </w:r>
    </w:p>
    <w:p>
      <w:r>
        <w:t>Englische Studie mit Netzwerkanalyse zur optimalen Auswahl von Sentinel-Laboratorien für Whole-Genome-Sequenzierung nosokomialer Infektionen bei limitierter Sequenzierungskapazität.</w:t>
      </w:r>
    </w:p>
    <w:p>
      <w:r>
        <w:rPr>
          <w:b/>
        </w:rPr>
        <w:t xml:space="preserve">Ergebnis: </w:t>
      </w:r>
      <w:r>
        <w:t>Algorithmisch optimierte Sentinelstandorte erkennen neuartige C.-difficile-Stämme 27 % schneller als Zufallsauswahl (Median ~3 statt 4 Wochen), während nur &lt;15 % aller Fälle sequenziert werden. Sensitivitäts- und Szenario-Analysen bestätigten robuste epidemiologische Performance über verschiedene Pfadogeneigenschaften hinweg.</w:t>
      </w:r>
    </w:p>
    <w:p>
      <w:r>
        <w:rPr>
          <w:b/>
          <w:sz w:val="19"/>
        </w:rPr>
        <w:t xml:space="preserve">Übertragbarkeit: </w:t>
      </w:r>
      <w:r>
        <w:rPr>
          <w:sz w:val="19"/>
        </w:rPr>
        <w:t>Großbritannien, übertragbar auf deutsche KRINKO-gestützte Sentinel-Überwachung</w:t>
      </w:r>
    </w:p>
    <w:p>
      <w:r>
        <w:rPr>
          <w:color w:val="5A7D3A"/>
          <w:sz w:val="18"/>
        </w:rPr>
        <w:t>https://pubmed.ncbi.nlm.nih.gov/42649138/</w:t>
      </w:r>
    </w:p>
    <w:p>
      <w:pPr>
        <w:pStyle w:val="Heading2"/>
      </w:pPr>
      <w:r>
        <w:t>Delphi-Konsens: Prävention und Management iatrogener Nebenwirkungen von Immunglobulin-Therapie</w:t>
      </w:r>
    </w:p>
    <w:p>
      <w:r>
        <w:rPr>
          <w:i/>
          <w:color w:val="666666"/>
          <w:sz w:val="18"/>
        </w:rPr>
        <w:t>Ferranti-Ramos A et al.  ·  Front Immunol  ·  06.08.2026  ·  PMID 42625714</w:t>
      </w:r>
    </w:p>
    <w:p>
      <w:r>
        <w:t>Spanischer Expertenkonsens mit modifiziertem Delphi-Verfahren zur Standardisierung von Sicherheitsmaßnahmen bei Immunglobulin-Gaben in primären und sekundären Immundefekten.</w:t>
      </w:r>
    </w:p>
    <w:p>
      <w:r>
        <w:rPr>
          <w:b/>
        </w:rPr>
        <w:t xml:space="preserve">Ergebnis: </w:t>
      </w:r>
      <w:r>
        <w:t>42 von 44 Empfehlungen erreichten ≥75 % Konsens. Hochgradige Einigkeit zu individualisierter Risikoabwägung, Infusionsraten-Anpassung und frühes Nebenwirkungsmanagement. Subkutane Immunglobuline (SCIG) zeigten weniger systemische Reaktionen als intravenös. Serielle Anti-IgA-Tests nur bei selektierten Hochrisikopatienten nötig. Prämediktion nur bei ausgewählten Hochrisikogruppen.</w:t>
      </w:r>
    </w:p>
    <w:p>
      <w:r>
        <w:rPr>
          <w:b/>
          <w:sz w:val="19"/>
        </w:rPr>
        <w:t xml:space="preserve">Übertragbarkeit: </w:t>
      </w:r>
      <w:r>
        <w:rPr>
          <w:sz w:val="19"/>
        </w:rPr>
        <w:t>Spanien; europäisches System, auf deutsches Versicherungswesen übertragbar</w:t>
      </w:r>
    </w:p>
    <w:p>
      <w:r>
        <w:rPr>
          <w:color w:val="5A7D3A"/>
          <w:sz w:val="18"/>
        </w:rPr>
        <w:t>https://pubmed.ncbi.nlm.nih.gov/42625714/</w:t>
      </w:r>
    </w:p>
    <w:p>
      <w:pPr>
        <w:pStyle w:val="Heading2"/>
      </w:pPr>
      <w:r>
        <w:t>MT-RNR1-Testung vor Aminoglykosiden verhindert irreversible Hörstörungen, kosteneffektiv in Neonatensepsis</w:t>
      </w:r>
    </w:p>
    <w:p>
      <w:r>
        <w:rPr>
          <w:i/>
          <w:color w:val="666666"/>
          <w:sz w:val="18"/>
        </w:rPr>
        <w:t>McDermott JH et al.  ·  Br J Clin Pharmacol  ·  29.07.2026  ·  PMID 42524757</w:t>
      </w:r>
    </w:p>
    <w:p>
      <w:r>
        <w:t>Britische Richtlinie zum Einsatz präventiver Pharmacogenomics-Tests für Aminoglykosid-induzierte Ototoxizität anhand von Mitochondrial-DNA-Varianten, basierend auf systematischer Literaturanalyse.</w:t>
      </w:r>
    </w:p>
    <w:p>
      <w:r>
        <w:rPr>
          <w:b/>
        </w:rPr>
        <w:t xml:space="preserve">Ergebnis: </w:t>
      </w:r>
      <w:r>
        <w:t>Drei MT-RNR1-Varianten (m.1555A&gt;G, m.1494C&gt;T, m.1095T&gt;C; Frequenz ~1:330) prädisponieren zu irreversibler Hörschädigung auch bei therapeutischen Dosen. Im Englischen Nationalen Gesundheitssystem ist Labor-basierte Testung finanziert; Point-of-Care-Tests in Neonatensepsis werden durchgeführt und sind frühen Health-Economic-Modellen zufolge kostenersparend. Ca. 20 % des Aminoglykosidgebrauchs ist vorhersehbar und testbar.</w:t>
      </w:r>
    </w:p>
    <w:p>
      <w:r>
        <w:rPr>
          <w:b/>
          <w:sz w:val="19"/>
        </w:rPr>
        <w:t xml:space="preserve">Übertragbarkeit: </w:t>
      </w:r>
      <w:r>
        <w:rPr>
          <w:sz w:val="19"/>
        </w:rPr>
        <w:t>Großbritannien, Mitochondrial-DNA-Testung auf Deutschland übertragbar, Kosten-Nutzen-Analyse erforderlich</w:t>
      </w:r>
    </w:p>
    <w:p>
      <w:r>
        <w:rPr>
          <w:color w:val="5A7D3A"/>
          <w:sz w:val="18"/>
        </w:rPr>
        <w:t>https://pubmed.ncbi.nlm.nih.gov/42524757/</w:t>
      </w:r>
    </w:p>
    <w:p>
      <w:pPr>
        <w:pStyle w:val="Heading1"/>
      </w:pPr>
      <w:r>
        <w:t>Aufgenommen am 30.08.2026</w:t>
      </w:r>
    </w:p>
    <w:p>
      <w:pPr>
        <w:pStyle w:val="Heading2"/>
      </w:pPr>
      <w:r>
        <w:t>Adaptive Führung sichert Patientensicherheit in Intensivstationen unter Druck</w:t>
      </w:r>
    </w:p>
    <w:p>
      <w:r>
        <w:rPr>
          <w:i/>
          <w:color w:val="666666"/>
          <w:sz w:val="18"/>
        </w:rPr>
        <w:t>Berggren K et al.  ·  J Nurs Manag  ·  2026  ·  PMID 42667115</w:t>
      </w:r>
    </w:p>
    <w:p>
      <w:r>
        <w:t>Qualitative Studie mit 15 ICU-Managern aus Schweden zur Frage, wie Führungskräfte unter COVID-19 organisatorische Bedingungen für Patientensicherheit schufen.</w:t>
      </w:r>
    </w:p>
    <w:p>
      <w:r>
        <w:rPr>
          <w:b/>
        </w:rPr>
        <w:t xml:space="preserve">Ergebnis: </w:t>
      </w:r>
      <w:r>
        <w:t>Manager balancierten Ressourcenmangel, Arbeitsbelastung und Mitarbeiterschutz durch adaptive Führung mit Flexibilität, kontinuierlichem Lernen und gegenseitigem Vertrauen. Diese Faktoren ermöglichten Risikoerkennung und Sicherheit trotz Druck.</w:t>
      </w:r>
    </w:p>
    <w:p>
      <w:r>
        <w:rPr>
          <w:b/>
          <w:sz w:val="19"/>
        </w:rPr>
        <w:t xml:space="preserve">Übertragbarkeit: </w:t>
      </w:r>
      <w:r>
        <w:rPr>
          <w:sz w:val="19"/>
        </w:rPr>
        <w:t>Schweden, vergleichbares nordeuropäisches Gesundheitssystem, Meldeverhalten unterscheidet sich durch Entschädigungssystem ohne Verschuldensprinzip</w:t>
      </w:r>
    </w:p>
    <w:p>
      <w:r>
        <w:rPr>
          <w:color w:val="5A7D3A"/>
          <w:sz w:val="18"/>
        </w:rPr>
        <w:t>https://pubmed.ncbi.nlm.nih.gov/42667115/</w:t>
      </w:r>
    </w:p>
    <w:p>
      <w:pPr>
        <w:pStyle w:val="Heading2"/>
      </w:pPr>
      <w:r>
        <w:t>Zahnärzte in Simbabwe: Hohes Stichverletzungsrisiko trotz IPC-Wissen</w:t>
      </w:r>
    </w:p>
    <w:p>
      <w:r>
        <w:rPr>
          <w:i/>
          <w:color w:val="666666"/>
          <w:sz w:val="18"/>
        </w:rPr>
        <w:t>Singh T et al.  ·  Front Public Health  ·  14.08.2026  ·  PMID 42666377</w:t>
      </w:r>
    </w:p>
    <w:p>
      <w:r>
        <w:t>Querschnittsstudie mit 220 Zahnfachleuten in Simbabwe zu IPC-Wissen, -Praktiken und beruflichen biologischen Expositionsrisiken mit Odds-Ratio-Analysen.</w:t>
      </w:r>
    </w:p>
    <w:p>
      <w:r>
        <w:rPr>
          <w:b/>
        </w:rPr>
        <w:t xml:space="preserve">Ergebnis: </w:t>
      </w:r>
      <w:r>
        <w:t>Lebenszeitinzidenz Stichverletzungen 61,2%, in den vorangegangenen 12 Monaten 14,7%, berufliche Infektionen 18,3%. Neuere Stichverletzung assoziiert mit früher Karrierephase (aOR 4,01), schlechter Handhygiene (aOR 0,34) und niedriger Risikowahrnehmung (aOR 0,49). Öffentliche Arbeit assoziiert mit Berufsinfektionen (aOR 2,66).</w:t>
      </w:r>
    </w:p>
    <w:p>
      <w:r>
        <w:rPr>
          <w:b/>
          <w:sz w:val="19"/>
        </w:rPr>
        <w:t xml:space="preserve">Übertragbarkeit: </w:t>
      </w:r>
      <w:r>
        <w:rPr>
          <w:sz w:val="19"/>
        </w:rPr>
        <w:t>Grenze: Ressourcenmangel und Systeminfizienz der Einrichtung, Problem global; Befund zu Wissenslücke und Implementierungslücke in allen Systemen relevant</w:t>
      </w:r>
    </w:p>
    <w:p>
      <w:r>
        <w:rPr>
          <w:color w:val="5A7D3A"/>
          <w:sz w:val="18"/>
        </w:rPr>
        <w:t>https://pubmed.ncbi.nlm.nih.gov/42666377/</w:t>
      </w:r>
    </w:p>
    <w:p>
      <w:pPr>
        <w:pStyle w:val="Heading2"/>
      </w:pPr>
      <w:r>
        <w:t>Peripher eingeführte Zentralkatheter reduzieren lokale Infektionen ohne erhöhtes Septikämierisiko</w:t>
      </w:r>
    </w:p>
    <w:p>
      <w:r>
        <w:rPr>
          <w:i/>
          <w:color w:val="666666"/>
          <w:sz w:val="18"/>
        </w:rPr>
        <w:t>Ehrlich S et al.  ·  Support Care Cancer  ·  28.08.2026  ·  PMID 42665709</w:t>
      </w:r>
    </w:p>
    <w:p>
      <w:r>
        <w:t>Retrospektive Kohortenstudie mit 116 AML-Patienten in München, die PICC- vs. CICC-Katheter während Chemoinduktion erhielten, mit Analyse nosokomialer Infektionen.</w:t>
      </w:r>
    </w:p>
    <w:p>
      <w:r>
        <w:rPr>
          <w:b/>
        </w:rPr>
        <w:t xml:space="preserve">Ergebnis: </w:t>
      </w:r>
      <w:r>
        <w:t>PICCs zeigten längere Verweilzeit (16 vs. 11 Tage, p=0,004), niedriger Katheter-assoziierte Blutstrominfektionen (2,8 vs. 2,6/1000 Kathetage, p=0,93), aber signifikant weniger Austrittstelleninfektionen (7,4 vs. 23,1/1000 Kathetage, p=0,01). Keine erhöhte Thromboserisiko.</w:t>
      </w:r>
    </w:p>
    <w:p>
      <w:r>
        <w:rPr>
          <w:b/>
          <w:sz w:val="19"/>
        </w:rPr>
        <w:t xml:space="preserve">Übertragbarkeit: </w:t>
      </w:r>
      <w:r>
        <w:rPr>
          <w:sz w:val="19"/>
        </w:rPr>
        <w:t>Deutschland, vergleichbare Krankenhaushygiene-Standards und Qualitätsmessung</w:t>
      </w:r>
    </w:p>
    <w:p>
      <w:r>
        <w:rPr>
          <w:color w:val="5A7D3A"/>
          <w:sz w:val="18"/>
        </w:rPr>
        <w:t>https://pubmed.ncbi.nlm.nih.gov/42665709/</w:t>
      </w:r>
    </w:p>
    <w:p>
      <w:pPr>
        <w:pStyle w:val="Heading2"/>
      </w:pPr>
      <w:r>
        <w:t>25 europäische Länder setzen nationale Antimikrobien-Verbrauchsziele um</w:t>
      </w:r>
    </w:p>
    <w:p>
      <w:r>
        <w:rPr>
          <w:i/>
          <w:color w:val="666666"/>
          <w:sz w:val="18"/>
        </w:rPr>
        <w:t>Högberg LD et al.  ·  Euro Surveill  ·  Aug. 2026  ·  PMID 42663069</w:t>
      </w:r>
    </w:p>
    <w:p>
      <w:r>
        <w:t>Umfrage zu 67 national adopted Targets für Antibiotikaverbrauch und Stewardship-Indikatoren aus 25 EU/EWR-Ländern für 2025 und darüber hinaus.</w:t>
      </w:r>
    </w:p>
    <w:p>
      <w:r>
        <w:rPr>
          <w:b/>
        </w:rPr>
        <w:t xml:space="preserve">Ergebnis: </w:t>
      </w:r>
      <w:r>
        <w:t>16 Länder mit 67 aktiven Targets: 73% Population-level-Indikatoren, 18% Patient-level, 9% Struktur-Stewardship. Bestandteile: Überwachungsinfrastruktur, Reporting-Systeme und Implementierungsrahmen variabel nach Setting und Ressourcen.</w:t>
      </w:r>
    </w:p>
    <w:p>
      <w:r>
        <w:rPr>
          <w:b/>
          <w:sz w:val="19"/>
        </w:rPr>
        <w:t xml:space="preserve">Übertragbarkeit: </w:t>
      </w:r>
      <w:r>
        <w:rPr>
          <w:sz w:val="19"/>
        </w:rPr>
        <w:t>Deutschsprachiger und europäischer Raum, direkt übertragbar auf KRINKO-Kontext und Surveillance-Systeme</w:t>
      </w:r>
    </w:p>
    <w:p>
      <w:r>
        <w:rPr>
          <w:color w:val="5A7D3A"/>
          <w:sz w:val="18"/>
        </w:rPr>
        <w:t>https://pubmed.ncbi.nlm.nih.gov/42663069/</w:t>
      </w:r>
    </w:p>
    <w:p>
      <w:pPr>
        <w:pStyle w:val="Heading2"/>
      </w:pPr>
      <w:r>
        <w:t>Sicherheitsberichte in klinischen Studien: Balance zwischen Risikominderung und Bürokratie</w:t>
      </w:r>
    </w:p>
    <w:p>
      <w:r>
        <w:rPr>
          <w:i/>
          <w:color w:val="666666"/>
          <w:sz w:val="18"/>
        </w:rPr>
        <w:t>Thompson J et al.  ·  PLoS One  ·  30.07.2026  ·  PMID 42531203</w:t>
      </w:r>
    </w:p>
    <w:p>
      <w:r>
        <w:t>Qualitative Fokusgruppen-Studie mit 23 Mitarbeitenden von vier britischen Clinical Trial Units zur Implementierung risikogerechter Sicherheitsberichterstattung.</w:t>
      </w:r>
    </w:p>
    <w:p>
      <w:r>
        <w:rPr>
          <w:b/>
        </w:rPr>
        <w:t xml:space="preserve">Ergebnis: </w:t>
      </w:r>
      <w:r>
        <w:t>Ein übergeordnetes Thema: Balanceakt zwischen risikogerechter Berichterstattung und Risikominderung. Personal fühlt sich unsicher in Entscheidungen. Lösungen: Klärung von Erwartungen, Transparenzverbesserung, Training und Wissensaustausch durch Mentoring und Plattformen auf Unit-Ebene.</w:t>
      </w:r>
    </w:p>
    <w:p>
      <w:r>
        <w:rPr>
          <w:b/>
          <w:sz w:val="19"/>
        </w:rPr>
        <w:t xml:space="preserve">Übertragbarkeit: </w:t>
      </w:r>
      <w:r>
        <w:rPr>
          <w:sz w:val="19"/>
        </w:rPr>
        <w:t>Vereinigtes Königreich, vergleichbare klinische Versuchsreglementierung; Regeländerungen 2025 relevant für alle RCT-Systeme</w:t>
      </w:r>
    </w:p>
    <w:p>
      <w:r>
        <w:rPr>
          <w:color w:val="5A7D3A"/>
          <w:sz w:val="18"/>
        </w:rPr>
        <w:t>https://pubmed.ncbi.nlm.nih.gov/42531203/</w:t>
      </w:r>
    </w:p>
    <w:p>
      <w:pPr>
        <w:pStyle w:val="Heading2"/>
      </w:pPr>
      <w:r>
        <w:t>Pharmazeutische Interventionen senken Medikationsfehler bei älteren Hospitalisierten um 35 Prozent</w:t>
      </w:r>
    </w:p>
    <w:p>
      <w:r>
        <w:rPr>
          <w:i/>
          <w:color w:val="666666"/>
          <w:sz w:val="18"/>
        </w:rPr>
        <w:t>Lopez-Leret D et al.  ·  Pharmazie  ·  24.07.2026  ·  PMID 42530075</w:t>
      </w:r>
    </w:p>
    <w:p>
      <w:r>
        <w:t>Retrospektive Analyse von 12.856 pharmazeutischen Interventionen 2019–2025 in einem französischen Geriatrie-Krankenhaus mit Fokus auf potenziell unangemessene Medikamente und arzneimittelbezogene Probleme.</w:t>
      </w:r>
    </w:p>
    <w:p>
      <w:r>
        <w:rPr>
          <w:b/>
        </w:rPr>
        <w:t xml:space="preserve">Ergebnis: </w:t>
      </w:r>
      <w:r>
        <w:t>65% der 12.856 Interventionen wurden von Verschreibern akzeptiert. Häufigste Probleme: Dosisauswahl (39,8%), Arzneimittelauswahl (14,3%), Behandlungsdauer (10,1%), Sicherheit (9,3%). Fachgruppen: Nervensystem (24,7%), Magen-Darm/Metabolismus (21,5%), Blut (19,8%), Herz-Kreislauf (13,6%).</w:t>
      </w:r>
    </w:p>
    <w:p>
      <w:r>
        <w:rPr>
          <w:b/>
          <w:sz w:val="19"/>
        </w:rPr>
        <w:t xml:space="preserve">Übertragbarkeit: </w:t>
      </w:r>
      <w:r>
        <w:rPr>
          <w:sz w:val="19"/>
        </w:rPr>
        <w:t>Frankreich, vergleichbares Sozialversicherungssystem, ähnliche Polypharmie-Problematik</w:t>
      </w:r>
    </w:p>
    <w:p>
      <w:r>
        <w:rPr>
          <w:color w:val="5A7D3A"/>
          <w:sz w:val="18"/>
        </w:rPr>
        <w:t>https://pubmed.ncbi.nlm.nih.gov/42530075/</w:t>
      </w:r>
    </w:p>
    <w:p>
      <w:pPr>
        <w:pStyle w:val="Heading1"/>
      </w:pPr>
      <w:r>
        <w:t>Aufgenommen am 29.08.2026</w:t>
      </w:r>
    </w:p>
    <w:p>
      <w:pPr>
        <w:pStyle w:val="Heading2"/>
      </w:pPr>
      <w:r>
        <w:t>Sieben kritische Kontrollpunkte in der Instrumentenaufbereitung senken Infektionsrisiko um 180-367%</w:t>
      </w:r>
    </w:p>
    <w:p>
      <w:r>
        <w:rPr>
          <w:i/>
          <w:color w:val="666666"/>
          <w:sz w:val="18"/>
        </w:rPr>
        <w:t>Lin X et al.  ·  Front Public Health  ·  13.08.2026  ·  PMID 42661801</w:t>
      </w:r>
    </w:p>
    <w:p>
      <w:r>
        <w:t>Retrospektive Kohortenstudie an 15.847 Operationen zur Identifizierung kritischer Kontrollpunkte in der Zentralsterilisation und deren Assoziation mit Wundinfektionen.</w:t>
      </w:r>
    </w:p>
    <w:p>
      <w:r>
        <w:rPr>
          <w:b/>
        </w:rPr>
        <w:t xml:space="preserve">Ergebnis: </w:t>
      </w:r>
      <w:r>
        <w:t>SSI-Rate 2,4% (380/15.847). Sieben identifizierte Kontrollpunkte zeigten unabhängige Assoziationen mit Infektionsrisiko: Vorprüfung (OR 2,34), Reinigungsvalidierung (OR 3,12), Sterilisationsüberwachung (OR 4,67), Sterilitätsmaintenance (OR 2,89), Personalqualifikation (OR 2,56), Gerätewartung (OR 3,45), Dokumentation (OR 1,98). Inadequate Kontrolle erhöhte Infektionsrisiko um 180-367%.</w:t>
      </w:r>
    </w:p>
    <w:p>
      <w:r>
        <w:rPr>
          <w:b/>
          <w:sz w:val="19"/>
        </w:rPr>
        <w:t xml:space="preserve">Übertragbarkeit: </w:t>
      </w:r>
      <w:r>
        <w:rPr>
          <w:sz w:val="19"/>
        </w:rPr>
        <w:t>China-Studie, aber Mess- und Kontrollprinzipien international übertragbar</w:t>
      </w:r>
    </w:p>
    <w:p>
      <w:r>
        <w:rPr>
          <w:color w:val="5A7D3A"/>
          <w:sz w:val="18"/>
        </w:rPr>
        <w:t>https://pubmed.ncbi.nlm.nih.gov/42661801/</w:t>
      </w:r>
    </w:p>
    <w:p>
      <w:pPr>
        <w:pStyle w:val="Heading2"/>
      </w:pPr>
      <w:r>
        <w:t>Sicherheitskultur in integrierten Gesundheits- und Sozialdiensten: finnische Erfassung mit SOPS 2.0</w:t>
      </w:r>
    </w:p>
    <w:p>
      <w:r>
        <w:rPr>
          <w:i/>
          <w:color w:val="666666"/>
          <w:sz w:val="18"/>
        </w:rPr>
        <w:t>Hult M et al.  ·  BMJ Open Qual  ·  27.08.2026  ·  PMID 42660605</w:t>
      </w:r>
    </w:p>
    <w:p>
      <w:r>
        <w:t>Querschnittstudie mit 2.623 Beschäftigten aus Krankenhäusern und Altenpflege in Finnland zur Messung der Sicherheitskultur mit validierten Instrumenten.</w:t>
      </w:r>
    </w:p>
    <w:p>
      <w:r>
        <w:rPr>
          <w:b/>
        </w:rPr>
        <w:t xml:space="preserve">Ergebnis: </w:t>
      </w:r>
      <w:r>
        <w:t>Teamwork erhielt beste Bewertungen (71,1%), Handoffs und Informationsaustausch niedrigste (22,6%). Ältere Dienste schnitten konsistent schlechter ab. Insgesamt 52,6% positive Responses für Net Safety Score. Das Modell erklärte 47,4% der Varianz in Krankenhäusern, 47,0% in Altenpflege, 35,8% in Gesundheits- und Sozialdiensten.</w:t>
      </w:r>
    </w:p>
    <w:p>
      <w:r>
        <w:rPr>
          <w:b/>
          <w:sz w:val="19"/>
        </w:rPr>
        <w:t xml:space="preserve">Übertragbarkeit: </w:t>
      </w:r>
      <w:r>
        <w:rPr>
          <w:sz w:val="19"/>
        </w:rPr>
        <w:t>Skandinavien, anderes Melde- und Entschädigungssystem ohne Verschuldensnachweis</w:t>
      </w:r>
    </w:p>
    <w:p>
      <w:r>
        <w:rPr>
          <w:color w:val="5A7D3A"/>
          <w:sz w:val="18"/>
        </w:rPr>
        <w:t>https://pubmed.ncbi.nlm.nih.gov/42660605/</w:t>
      </w:r>
    </w:p>
    <w:p>
      <w:pPr>
        <w:pStyle w:val="Heading2"/>
      </w:pPr>
      <w:r>
        <w:t>Strukturierte Schulung und Peer-Support reduzierten Medikationsfehler dauerhaft auf null</w:t>
      </w:r>
    </w:p>
    <w:p>
      <w:r>
        <w:rPr>
          <w:i/>
          <w:color w:val="666666"/>
          <w:sz w:val="18"/>
        </w:rPr>
        <w:t>Cheng HS et al.  ·  BMJ Open Qual  ·  27.08.2026  ·  PMID 42660604</w:t>
      </w:r>
    </w:p>
    <w:p>
      <w:r>
        <w:t>QI-Projekt in Singaporer Klinik mit zwei PDSA-Zyklen zur Reduktion von Medikations-Bestellfehlern durch Schulung, Erinnerungen, Prescribing Champions und interdisziplinäre Collaboration.</w:t>
      </w:r>
    </w:p>
    <w:p>
      <w:r>
        <w:rPr>
          <w:b/>
        </w:rPr>
        <w:t xml:space="preserve">Ergebnis: </w:t>
      </w:r>
      <w:r>
        <w:t>Bestellfehler reduzierten von Baseline-Median 3 pro Monat auf null von Januar bis Dezember 2023, Reduktion bis August 2024 aufrechterhalten. Geschätzte Kostenersparnis SGD 18.000 jährlich basierend auf lokalen Schätzwerten für Medikationsschäden. Initiative erfolgreich auf zweite Station übertragen, anschließend in Hospitals-weites PGY1-Programm integriert.</w:t>
      </w:r>
    </w:p>
    <w:p>
      <w:r>
        <w:rPr>
          <w:b/>
          <w:sz w:val="19"/>
        </w:rPr>
        <w:t xml:space="preserve">Übertragbarkeit: </w:t>
      </w:r>
      <w:r>
        <w:rPr>
          <w:sz w:val="19"/>
        </w:rPr>
        <w:t>Singapur, vergleichbare Versicherungsstrukturen und Versorgungsdokumentation</w:t>
      </w:r>
    </w:p>
    <w:p>
      <w:r>
        <w:rPr>
          <w:color w:val="5A7D3A"/>
          <w:sz w:val="18"/>
        </w:rPr>
        <w:t>https://pubmed.ncbi.nlm.nih.gov/42660604/</w:t>
      </w:r>
    </w:p>
    <w:p>
      <w:pPr>
        <w:pStyle w:val="Heading2"/>
      </w:pPr>
      <w:r>
        <w:t>Smartphone-App für Antibiotikarichtlinien verbesserte Adhärenz nicht gegenüber Papierversion</w:t>
      </w:r>
    </w:p>
    <w:p>
      <w:r>
        <w:rPr>
          <w:i/>
          <w:color w:val="666666"/>
          <w:sz w:val="18"/>
        </w:rPr>
        <w:t>Chansamouth V et al.  ·  PLoS Med  ·  27.08.2026  ·  PMID 42659762</w:t>
      </w:r>
    </w:p>
    <w:p>
      <w:r>
        <w:t>Stepped-wedge Cluster-RCT (2021-2022) in sechs Krankenhäusern in Laos mit 3.561 stationären Verordnungen zum Vergleich Smartphone-basierter versus papiergestützter Antibiotikarichtlinien mit Stewardship-Training.</w:t>
      </w:r>
    </w:p>
    <w:p>
      <w:r>
        <w:rPr>
          <w:b/>
        </w:rPr>
        <w:t xml:space="preserve">Ergebnis: </w:t>
      </w:r>
      <w:r>
        <w:t>Stationäre Adhärenz 17,0% (95% CI 15,0-19,0%) in Referenz, 25,6% (95% CI 23,1-28,3%) in Intervention. Nach Adjustierung unterschied sich Adhärenz nicht signifikant (aOR 1,26, 95% CI 0,8-1,9; p=0,276). Ambulant aOR 0,91 (95% CI 0,7-1,1; p=0,406). Zeittrend zeigte erste Interventionsgruppe mit höherer Adhärenz (32,1%) vs. letzte (19,1%), aOR 1,95.</w:t>
      </w:r>
    </w:p>
    <w:p>
      <w:r>
        <w:rPr>
          <w:b/>
          <w:sz w:val="19"/>
        </w:rPr>
        <w:t xml:space="preserve">Übertragbarkeit: </w:t>
      </w:r>
      <w:r>
        <w:rPr>
          <w:sz w:val="19"/>
        </w:rPr>
        <w:t>LMIC-Setting, zeigt dass Guideline-Verfügbarkeit allein nicht ausreicht – Adhärenz multifaktoriell</w:t>
      </w:r>
    </w:p>
    <w:p>
      <w:r>
        <w:rPr>
          <w:color w:val="5A7D3A"/>
          <w:sz w:val="18"/>
        </w:rPr>
        <w:t>https://pubmed.ncbi.nlm.nih.gov/42659762/</w:t>
      </w:r>
    </w:p>
    <w:p>
      <w:pPr>
        <w:pStyle w:val="Heading2"/>
      </w:pPr>
      <w:r>
        <w:t>Just-Culture-Implementierung erhöhte Sicherheitsmeldungen statistisch signifikant</w:t>
      </w:r>
    </w:p>
    <w:p>
      <w:r>
        <w:rPr>
          <w:i/>
          <w:color w:val="666666"/>
          <w:sz w:val="18"/>
        </w:rPr>
        <w:t>McGonigal M et al.  ·  Crit Care Nurs Q  ·  26.08.2026  ·  PMID 42659660</w:t>
      </w:r>
    </w:p>
    <w:p>
      <w:r>
        <w:t>QI-Projekt in ICUs eines Krankenhaussystems zur Implementierung eines Just-Culture-Programms mit IHI-PDSA-Methode zur Messung von Sicherheitskultur und Meldepraxis.</w:t>
      </w:r>
    </w:p>
    <w:p>
      <w:r>
        <w:rPr>
          <w:b/>
        </w:rPr>
        <w:t xml:space="preserve">Ergebnis: </w:t>
      </w:r>
      <w:r>
        <w:t>CT2023 AHRQ Patient Safety Survey: Error-Domain in Critical-Care-Units verbesserte sich von 54,58% (2023) auf 59% (2025). Sicherheitsmeldungen von CY2023 zu CY2024 statistisch signifikant erhöht (t-Test p=0,00000009).</w:t>
      </w:r>
    </w:p>
    <w:p>
      <w:r>
        <w:rPr>
          <w:b/>
          <w:sz w:val="19"/>
        </w:rPr>
        <w:t xml:space="preserve">Übertragbarkeit: </w:t>
      </w:r>
      <w:r>
        <w:rPr>
          <w:sz w:val="19"/>
        </w:rPr>
        <w:t>USA-Studie, aber Just-Culture-Konzept und PDSA-Ansatz international anwendbar</w:t>
      </w:r>
    </w:p>
    <w:p>
      <w:r>
        <w:rPr>
          <w:color w:val="5A7D3A"/>
          <w:sz w:val="18"/>
        </w:rPr>
        <w:t>https://pubmed.ncbi.nlm.nih.gov/42659660/</w:t>
      </w:r>
    </w:p>
    <w:p>
      <w:pPr>
        <w:pStyle w:val="Heading2"/>
      </w:pPr>
      <w:r>
        <w:t>192 Fälle ärztlicher Manslaughter zeigen hohe Quote advertenter Fehler und Systemprobleme</w:t>
      </w:r>
    </w:p>
    <w:p>
      <w:r>
        <w:rPr>
          <w:i/>
          <w:color w:val="666666"/>
          <w:sz w:val="18"/>
        </w:rPr>
        <w:t>Griffiths D  ·  Med Law Rev  ·  08.07.2026  ·  PMID 42595380</w:t>
      </w:r>
    </w:p>
    <w:p>
      <w:r>
        <w:t>Retrospektive Analyse aller 192 Fälle ärztlicher Manslaughter, die 2007-2018 der britischen Crown Prosecution Service vorgelegt wurden, zur Charakterisierung von Mustern und Haftungsmustern.</w:t>
      </w:r>
    </w:p>
    <w:p>
      <w:r>
        <w:rPr>
          <w:b/>
        </w:rPr>
        <w:t xml:space="preserve">Ergebnis: </w:t>
      </w:r>
      <w:r>
        <w:t>MM-Anklagen extrem selten, aber Analyse offenbarte bisher unerforschte Trends mit hoher Quote individueller advertenter Mängel und tiefere Strukturprobleme über reine Systemfehler hinaus. Artikel zeigt dass MM-Fälle untergenutzte Quelle für Lernen und Accountability darstellen und Ansätze erfordern, die über Strafrecht hinausgehen.</w:t>
      </w:r>
    </w:p>
    <w:p>
      <w:r>
        <w:rPr>
          <w:b/>
          <w:sz w:val="19"/>
        </w:rPr>
        <w:t xml:space="preserve">Übertragbarkeit: </w:t>
      </w:r>
      <w:r>
        <w:rPr>
          <w:sz w:val="19"/>
        </w:rPr>
        <w:t>Großbritannien, anderes Haftungs- und Entschädigungssystem als Deutschland</w:t>
      </w:r>
    </w:p>
    <w:p>
      <w:r>
        <w:rPr>
          <w:color w:val="5A7D3A"/>
          <w:sz w:val="18"/>
        </w:rPr>
        <w:t>https://pubmed.ncbi.nlm.nih.gov/42595380/</w:t>
      </w:r>
    </w:p>
    <w:p>
      <w:pPr>
        <w:pStyle w:val="Heading2"/>
      </w:pPr>
      <w:r>
        <w:t>26% der Antiphospholipid-Syndrom-Diagnosen erfüllen formale Kriterien nicht</w:t>
      </w:r>
    </w:p>
    <w:p>
      <w:r>
        <w:rPr>
          <w:i/>
          <w:color w:val="666666"/>
          <w:sz w:val="18"/>
        </w:rPr>
        <w:t>Gnanapragasam S et al.  ·  Dan Med J  ·  23.06.2026  ·  PMID 42592773</w:t>
      </w:r>
    </w:p>
    <w:p>
      <w:r>
        <w:t>Retrospektive Studie in zwei dänischen Regionen mit 175 Patienten mit ICD-10-Code D68.61 zur Überprüfung ob formale APS-Kriterien erfüllt sind.</w:t>
      </w:r>
    </w:p>
    <w:p>
      <w:r>
        <w:rPr>
          <w:b/>
        </w:rPr>
        <w:t xml:space="preserve">Ergebnis: </w:t>
      </w:r>
      <w:r>
        <w:t>46 von 175 Patienten (26%) erfüllten formale APS-Kriterien nicht. Hauptgrund: fehlerhafte Laborbefund-Interpretation. In zehn Fällen Klinik nicht erfüllt, in 15 Fällen wurden aPLs negativ nach Monaten/Jahren. Bei &lt;50 Jahren APS häufiger in Frauen (41 vs. 12; p&lt;0,0001), nicht bei ≥50 Jahren (38 vs. 38).</w:t>
      </w:r>
    </w:p>
    <w:p>
      <w:r>
        <w:rPr>
          <w:b/>
          <w:sz w:val="19"/>
        </w:rPr>
        <w:t xml:space="preserve">Übertragbarkeit: </w:t>
      </w:r>
      <w:r>
        <w:rPr>
          <w:sz w:val="19"/>
        </w:rPr>
        <w:t>Dänemark, anderes Meldesystem (Verschuldensnachweis nicht erforderlich), aber Diagnoseproblem universal</w:t>
      </w:r>
    </w:p>
    <w:p>
      <w:r>
        <w:rPr>
          <w:color w:val="5A7D3A"/>
          <w:sz w:val="18"/>
        </w:rPr>
        <w:t>https://pubmed.ncbi.nlm.nih.gov/42592773/</w:t>
      </w:r>
    </w:p>
    <w:p>
      <w:pPr>
        <w:pStyle w:val="Heading1"/>
      </w:pPr>
      <w:r>
        <w:t>Aufgenommen am 28.08.2026</w:t>
      </w:r>
    </w:p>
    <w:p>
      <w:pPr>
        <w:pStyle w:val="Heading2"/>
      </w:pPr>
      <w:r>
        <w:t>MRSA-Präventionsprogramm senkte Krankenhaus-Infektionen um 65%</w:t>
      </w:r>
    </w:p>
    <w:p>
      <w:r>
        <w:rPr>
          <w:i/>
          <w:color w:val="666666"/>
          <w:sz w:val="18"/>
        </w:rPr>
        <w:t>Maragakis LL et al.  ·  JAMA Netw Open  ·  03.08.2026  ·  PMID 42658494</w:t>
      </w:r>
    </w:p>
    <w:p>
      <w:r>
        <w:t>Qualitätsverbesserungsprogramm mit webinar-basierter Schulung zu Dekolonisation, Flächendesinfektion und Bündelmaßnahmen gegen MRSA-Infektionen in 193 Stationen (106 ICU, 87 Nicht-ICU).</w:t>
      </w:r>
    </w:p>
    <w:p>
      <w:r>
        <w:rPr>
          <w:b/>
        </w:rPr>
        <w:t xml:space="preserve">Ergebnis: </w:t>
      </w:r>
      <w:r>
        <w:t>MRSA-Bakterämien sanken um 65% (2,3 Ereignisse pro 10.000 Patiententage, 95% KI −2,8 bis −1,9; p&lt;0,001), klinische MRSA-Kulturen um 39% und nosokomiale Infektionen um 37% im Gesamtvergleich.</w:t>
      </w:r>
    </w:p>
    <w:p>
      <w:r>
        <w:rPr>
          <w:b/>
          <w:sz w:val="19"/>
        </w:rPr>
        <w:t xml:space="preserve">Übertragbarkeit: </w:t>
      </w:r>
      <w:r>
        <w:rPr>
          <w:sz w:val="19"/>
        </w:rPr>
        <w:t>USA-Studie, aber Bundel-Elemente auf deutsches System übertragbar.</w:t>
      </w:r>
    </w:p>
    <w:p>
      <w:r>
        <w:rPr>
          <w:color w:val="5A7D3A"/>
          <w:sz w:val="18"/>
        </w:rPr>
        <w:t>https://pubmed.ncbi.nlm.nih.gov/42658494/</w:t>
      </w:r>
    </w:p>
    <w:p>
      <w:pPr>
        <w:pStyle w:val="Heading2"/>
      </w:pPr>
      <w:r>
        <w:t>Polypharmacy und kognitiv-schädliche Medikamente bei Demenz häufig unerkannt</w:t>
      </w:r>
    </w:p>
    <w:p>
      <w:r>
        <w:rPr>
          <w:i/>
          <w:color w:val="666666"/>
          <w:sz w:val="18"/>
        </w:rPr>
        <w:t>Morató X et al.  ·  Alzheimers Dement  ·  Aug. 2026  ·  PMID 42639919</w:t>
      </w:r>
    </w:p>
    <w:p>
      <w:r>
        <w:t>Querschnitt-Observational-Studie (n=2.379) in Memory Clinic Barcelona: Polypharmacy (≥5 Medikamente), potentiell inadäquate Medikation (PIMs) und Medikamente mit kognitiver Toxizität anhand LLM-gestützter Datenextraktion untersucht.</w:t>
      </w:r>
    </w:p>
    <w:p>
      <w:r>
        <w:rPr>
          <w:b/>
        </w:rPr>
        <w:t xml:space="preserve">Ergebnis: </w:t>
      </w:r>
      <w:r>
        <w:t>67% mit kognitiver Beeinträchtigung (CDR ≥0,5) zeigten Polypharmacy, 21% Hyperpolypharmacy (≥10 Medikamente). 20,8% mit Polypharmacy hatten eingeschränkte Nierenfunktion. Schutzfaktor: höhere Bildung. LLM-Einsatz ermöglichte strukturierte Medikamentenanalyse.</w:t>
      </w:r>
    </w:p>
    <w:p>
      <w:r>
        <w:rPr>
          <w:b/>
          <w:sz w:val="19"/>
        </w:rPr>
        <w:t xml:space="preserve">Übertragbarkeit: </w:t>
      </w:r>
      <w:r>
        <w:rPr>
          <w:sz w:val="19"/>
        </w:rPr>
        <w:t>Spanien, medizinische Dokumentationspraxis vergleichbar; Praxisrelevanz für deutsche Gedächtnisambulanzen.</w:t>
      </w:r>
    </w:p>
    <w:p>
      <w:r>
        <w:rPr>
          <w:color w:val="5A7D3A"/>
          <w:sz w:val="18"/>
        </w:rPr>
        <w:t>https://pubmed.ncbi.nlm.nih.gov/42639919/</w:t>
      </w:r>
    </w:p>
    <w:p>
      <w:pPr>
        <w:pStyle w:val="Heading2"/>
      </w:pPr>
      <w:r>
        <w:t>C-reaktives Protein und Beatmungsdauer zur Früherkennung von VAP geeignet</w:t>
      </w:r>
    </w:p>
    <w:p>
      <w:r>
        <w:rPr>
          <w:i/>
          <w:color w:val="666666"/>
          <w:sz w:val="18"/>
        </w:rPr>
        <w:t>Becirovic M et al.  ·  Med Glas (Zenica)  ·  08.07.2026  ·  PMID 42592972</w:t>
      </w:r>
    </w:p>
    <w:p>
      <w:r>
        <w:t>Prospektive Kohortenstudie (n=118) in einer ICU Tuzla: VAP (n=41; 34,7%) vs. ohne VAP; Risikofaktoren, laborchemische Parameter und Mikrobiologie analysiert.</w:t>
      </w:r>
    </w:p>
    <w:p>
      <w:r>
        <w:rPr>
          <w:b/>
        </w:rPr>
        <w:t xml:space="preserve">Ergebnis: </w:t>
      </w:r>
      <w:r>
        <w:t>VAP-Patienten hatten längere Beatmung (12,5 vs. 7,3 Tage; p&lt;0,001), längerer Aufenthalt (19,6 vs. 12,2 Tage; p&lt;0,001), höhere CRP (178,2 vs. 126,4 mg/L; p&lt;0,001). CRP zeigte gute diskriminative Fähigkeit (AUC 0,83). Acinetobacter baumannii war Leitpathogen (43,9%).</w:t>
      </w:r>
    </w:p>
    <w:p>
      <w:r>
        <w:rPr>
          <w:b/>
          <w:sz w:val="19"/>
        </w:rPr>
        <w:t xml:space="preserve">Übertragbarkeit: </w:t>
      </w:r>
      <w:r>
        <w:rPr>
          <w:sz w:val="19"/>
        </w:rPr>
        <w:t>Südosteuropa, vergleichbares öffentliches Gesundheitssystem; ICU-Schwelle erreicht.</w:t>
      </w:r>
    </w:p>
    <w:p>
      <w:r>
        <w:rPr>
          <w:color w:val="5A7D3A"/>
          <w:sz w:val="18"/>
        </w:rPr>
        <w:t>https://pubmed.ncbi.nlm.nih.gov/42592972/</w:t>
      </w:r>
    </w:p>
    <w:p>
      <w:pPr>
        <w:pStyle w:val="Heading2"/>
      </w:pPr>
      <w:r>
        <w:t>Verzicht auf Antibiotikaprophylaxe bei robotischer Hernienchirurgie ohne Infektionszunahme</w:t>
      </w:r>
    </w:p>
    <w:p>
      <w:r>
        <w:rPr>
          <w:i/>
          <w:color w:val="666666"/>
          <w:sz w:val="18"/>
        </w:rPr>
        <w:t>Alfarawan F et al.  ·  Hernia  ·  31.07.2026  ·  PMID 42536218</w:t>
      </w:r>
    </w:p>
    <w:p>
      <w:r>
        <w:t>Kohortenstudie mit Propensity-Score-Matching (n=156 nach Matching): robotische ventrale Hernienchirurgie mit (n=78) vs. ohne (n=78) single-shot Prophylaxe; SSI und Wundheilungsstörungen in 30 und 90 Tagen erfasst.</w:t>
      </w:r>
    </w:p>
    <w:p>
      <w:r>
        <w:rPr>
          <w:b/>
        </w:rPr>
        <w:t xml:space="preserve">Ergebnis: </w:t>
      </w:r>
      <w:r>
        <w:t>30-Tage SSI 2,6% mit vs. 1,3% ohne Prophylaxe (p=1,0), 90-Tage SSI 0%, Wundheilungsstörungen 12,8% vs. 15,4% (p=0,82). Kein Unterschied in Liegedauer (beide 2 Tage). Prophylaxe nicht protektiv in Multivarianz-Analyse.</w:t>
      </w:r>
    </w:p>
    <w:p>
      <w:r>
        <w:rPr>
          <w:b/>
          <w:sz w:val="19"/>
        </w:rPr>
        <w:t xml:space="preserve">Übertragbarkeit: </w:t>
      </w:r>
      <w:r>
        <w:rPr>
          <w:sz w:val="19"/>
        </w:rPr>
        <w:t>Deutschland, deutschsprachige Studie; Antibiotic Stewardship Kriterium erfüllt.</w:t>
      </w:r>
    </w:p>
    <w:p>
      <w:r>
        <w:rPr>
          <w:color w:val="5A7D3A"/>
          <w:sz w:val="18"/>
        </w:rPr>
        <w:t>https://pubmed.ncbi.nlm.nih.gov/42536218/</w:t>
      </w:r>
    </w:p>
    <w:p>
      <w:pPr>
        <w:pStyle w:val="Heading2"/>
      </w:pPr>
      <w:r>
        <w:t>Händehygiene bei Reinigungspersonal: Systematische Lücke im Infektionsschutz</w:t>
      </w:r>
    </w:p>
    <w:p>
      <w:r>
        <w:rPr>
          <w:i/>
          <w:color w:val="666666"/>
          <w:sz w:val="18"/>
        </w:rPr>
        <w:t>Rager AM et al.  ·  Front Public Health  ·  16.07.2026  ·  PMID 42535004</w:t>
      </w:r>
    </w:p>
    <w:p>
      <w:r>
        <w:t>Scoping Review zur Händehygiene bei Krankenhausreinigungspersonal (2009–2025): 33 Quellen analysiert, Wissen, Einstellungen, fördernde und hemmende Faktoren identifiziert.</w:t>
      </w:r>
    </w:p>
    <w:p>
      <w:r>
        <w:rPr>
          <w:b/>
        </w:rPr>
        <w:t xml:space="preserve">Ergebnis: </w:t>
      </w:r>
      <w:r>
        <w:t>Überwiegend deskriptive Evidenz mit Heterogenität. Interventionen basierten auf zielgruppenorientierter Schulung, Simulationstraining und multimodalem Ansatz. Evidenzbasis klein; keine randomisierten Studien vorhanden. Intervention-Effekte nicht quantifiziert.</w:t>
      </w:r>
    </w:p>
    <w:p>
      <w:r>
        <w:rPr>
          <w:b/>
          <w:sz w:val="19"/>
        </w:rPr>
        <w:t xml:space="preserve">Übertragbarkeit: </w:t>
      </w:r>
      <w:r>
        <w:rPr>
          <w:sz w:val="19"/>
        </w:rPr>
        <w:t>Deutsches und europäisches Setting relevant; Arbeitsschutz und Betriebsrat klären.</w:t>
      </w:r>
    </w:p>
    <w:p>
      <w:r>
        <w:rPr>
          <w:color w:val="5A7D3A"/>
          <w:sz w:val="18"/>
        </w:rPr>
        <w:t>https://pubmed.ncbi.nlm.nih.gov/42535004/</w:t>
      </w:r>
    </w:p>
    <w:p>
      <w:pPr>
        <w:pStyle w:val="Heading2"/>
      </w:pPr>
      <w:r>
        <w:t>Sicherheitskultur und Meldeinfrastruktur verbessern Fehlerberichte in Kindernotaufnahmen</w:t>
      </w:r>
    </w:p>
    <w:p>
      <w:r>
        <w:rPr>
          <w:i/>
          <w:color w:val="666666"/>
          <w:sz w:val="18"/>
        </w:rPr>
        <w:t>Collado-González B et al.  ·  BMJ Open  ·  30.07.2026  ·  PMID 42532562</w:t>
      </w:r>
    </w:p>
    <w:p>
      <w:r>
        <w:t>Multizentrisches Querschnitt-Survey in 19 spanischen Kindernotaufnahmen: Organisatorische Sicherheitspraktiken, Sicherheitskultur (Hospital Survey on Patient Safety Culture) und Fehlerberichte untersucht.</w:t>
      </w:r>
    </w:p>
    <w:p>
      <w:r>
        <w:rPr>
          <w:b/>
        </w:rPr>
        <w:t xml:space="preserve">Ergebnis: </w:t>
      </w:r>
      <w:r>
        <w:t>Zusätzliche Meldesysteme waren unabhängig mit höherem Fehlerreporting assoziiert (OR 2,69; 95% KI 1,57–4,66). Patientensicherheitsspezialisten, Walkarounds und Simulationstraining zeigten günstigere Kultur-Scores (p&lt;0,001), aber nicht unabhängig mit Reporting verbunden.</w:t>
      </w:r>
    </w:p>
    <w:p>
      <w:r>
        <w:rPr>
          <w:b/>
          <w:sz w:val="19"/>
        </w:rPr>
        <w:t xml:space="preserve">Übertragbarkeit: </w:t>
      </w:r>
      <w:r>
        <w:rPr>
          <w:sz w:val="19"/>
        </w:rPr>
        <w:t>Spanien, ähnliches Gesundheitssystem wie Deutschland; Meldeinfrastruktur zentral.</w:t>
      </w:r>
    </w:p>
    <w:p>
      <w:r>
        <w:rPr>
          <w:color w:val="5A7D3A"/>
          <w:sz w:val="18"/>
        </w:rPr>
        <w:t>https://pubmed.ncbi.nlm.nih.gov/42532562/</w:t>
      </w:r>
    </w:p>
    <w:p>
      <w:pPr>
        <w:pStyle w:val="Heading1"/>
      </w:pPr>
      <w:r>
        <w:t>Aufgenommen am 27.08.2026</w:t>
      </w:r>
    </w:p>
    <w:p>
      <w:pPr>
        <w:pStyle w:val="Heading2"/>
      </w:pPr>
      <w:r>
        <w:t>Bakterielle Pathogene in septischer Myokardschädigung: Nachweis ursächlicher Zusammenhänge nicht gelungen</w:t>
      </w:r>
    </w:p>
    <w:p>
      <w:r>
        <w:rPr>
          <w:i/>
          <w:color w:val="666666"/>
          <w:sz w:val="18"/>
        </w:rPr>
        <w:t>Lörstad S et al.  ·  BMJ Open  ·  26.08.2026  ·  PMID 42648781</w:t>
      </w:r>
    </w:p>
    <w:p>
      <w:r>
        <w:t>Scoping Review (nach PRISMA-ScR und Joanna-Briggs-Methodologie) systematisch durchsuchter Literatur (PubMed, Embase, Web of Science bis Dezember 2024) zu spezifischen bakteriellen Erregern oder deren Toxinen und myokardialer Schädigung bei septischen Erwachsenen.</w:t>
      </w:r>
    </w:p>
    <w:p>
      <w:r>
        <w:rPr>
          <w:b/>
        </w:rPr>
        <w:t xml:space="preserve">Ergebnis: </w:t>
      </w:r>
      <w:r>
        <w:t>17 Studien eingeschlossen (3 Beobachtungskohorten mit 173 klinischen Patienten, 13 Fallberichte, 1 in-vitro-Studie): diverse Gram-negative und Gram-positive Erreger ohne konsistente Assoziation mit spezifischem Erreger oder Toxin. Myokardschädigung überwiegend durch Biomarker identifiziert, begrenzte Obduktionsbestätigungen. Keine Studie war für kausale oder vergleichende pathogene Mechanismen konzipiert. Verfügbare Daten zeigen heterogene infektiöse Kontexte ohne valide Erregerzuordnung.</w:t>
      </w:r>
    </w:p>
    <w:p>
      <w:r>
        <w:rPr>
          <w:b/>
          <w:sz w:val="19"/>
        </w:rPr>
        <w:t xml:space="preserve">Übertragbarkeit: </w:t>
      </w:r>
      <w:r>
        <w:rPr>
          <w:sz w:val="19"/>
        </w:rPr>
        <w:t>Skandinavien, Studiendesign zeigt Erkenntnislücke zur septischen Myokardschädigung; Implikation für Versorgung</w:t>
      </w:r>
    </w:p>
    <w:p>
      <w:r>
        <w:rPr>
          <w:color w:val="5A7D3A"/>
          <w:sz w:val="18"/>
        </w:rPr>
        <w:t>https://pubmed.ncbi.nlm.nih.gov/42648781/</w:t>
      </w:r>
    </w:p>
    <w:p>
      <w:pPr>
        <w:pStyle w:val="Heading2"/>
      </w:pPr>
      <w:r>
        <w:t>Arzneimittelkaskaden: 0,69%–3,29% Inzidenz vermeidbarer Medikationsfehler bei älteren Patienten</w:t>
      </w:r>
    </w:p>
    <w:p>
      <w:r>
        <w:rPr>
          <w:i/>
          <w:color w:val="666666"/>
          <w:sz w:val="18"/>
        </w:rPr>
        <w:t>Gervais F et al.  ·  Age Ageing  ·  03.08.2026  ·  PMID 42647768</w:t>
      </w:r>
    </w:p>
    <w:p>
      <w:r>
        <w:t>Analyse von 16,6 Mio. französischen Patientendaten ≥65 Jahren zur Häufigkeit von Arzneimittelkaskaden (unerwünschte Arzneimittelwirkungen, die fälschlicherweise als neue Erkrankung interpretiert werden und zu zusätzlichen Verschreibungen führen).</w:t>
      </w:r>
    </w:p>
    <w:p>
      <w:r>
        <w:rPr>
          <w:b/>
        </w:rPr>
        <w:t xml:space="preserve">Ergebnis: </w:t>
      </w:r>
      <w:r>
        <w:t>Bei 67% der Patienten mit kognitiver Beeinträchtigung lag Polypharmazie vor. Vier von sieben potenzielle Kaskaden zeigten signifikante positive Signale; stärkste: Benzodiazepin-Antipsychotika-Kaskade (adjustiertes Sequenzratio 2,48, 99%-KI 2,44–2,51) und Antipsychotika-Antiparkinson-Kaskade (2,01, 99%-KI 1,91–2,11). Inzidenz 0,69%–3,29%. Weibliches Geschlecht, Alter ≥85 Jahre, Hospitalisierungsbeginn der Indexmedikation und fehlende Verschreiberkontinuität waren mit höherem Kaskadenrisiko assoziiert.</w:t>
      </w:r>
    </w:p>
    <w:p>
      <w:r>
        <w:rPr>
          <w:b/>
          <w:sz w:val="19"/>
        </w:rPr>
        <w:t xml:space="preserve">Übertragbarkeit: </w:t>
      </w:r>
      <w:r>
        <w:rPr>
          <w:sz w:val="19"/>
        </w:rPr>
        <w:t>Frankreich, vergleichbar mit deutschem Sozialversicherungssystem und Dokumentationspflichten</w:t>
      </w:r>
    </w:p>
    <w:p>
      <w:r>
        <w:rPr>
          <w:color w:val="5A7D3A"/>
          <w:sz w:val="18"/>
        </w:rPr>
        <w:t>https://pubmed.ncbi.nlm.nih.gov/42647768/</w:t>
      </w:r>
    </w:p>
    <w:p>
      <w:pPr>
        <w:pStyle w:val="Heading2"/>
      </w:pPr>
      <w:r>
        <w:t>Periphere Vasopressoren: Protokollabweichungen führten selten zu klinisch relevanter Gewebeschädigung</w:t>
      </w:r>
    </w:p>
    <w:p>
      <w:r>
        <w:rPr>
          <w:i/>
          <w:color w:val="666666"/>
          <w:sz w:val="18"/>
        </w:rPr>
        <w:t>Shyu D et al.  ·  Crit Care Explor  ·  01.09.2026  ·  PMID 42640631</w:t>
      </w:r>
    </w:p>
    <w:p>
      <w:r>
        <w:t>Retrospektive Observationsstudie in 10 Krankenhäusern (Oktober 2020–Mai 2023) zu Abweichungen von einem institutionellen Protokoll für periphere Vasopressorengabe und deren Assoziation mit Extravasationen.</w:t>
      </w:r>
    </w:p>
    <w:p>
      <w:r>
        <w:rPr>
          <w:b/>
        </w:rPr>
        <w:t xml:space="preserve">Ergebnis: </w:t>
      </w:r>
      <w:r>
        <w:t>Von 3518 Patienten mit peripherer Vasopressorengabe hatten 1258 verdächtige Protokollabweichungen; 73 von 162 zur Detailrevision ausgewählten bestätigt: 86,3% überschritten Höchstdosis, 23 bekamen mehrere gleichzeitig, 13 infundiert &gt;24h, 13 periphere Vasopressin. 79,4% der Abweichungen bei Schock-Verschlimmerung vor zentralem Zugang. Extravasation: 13,7% (10 Patienten), 3 erhielten Phentolamin. In Sekundäranalyse: 47/3518 (1,3%) bekamen Phentolamin, davon 72,4% protokollkonform zum Zeitpunkt der Extravasation.</w:t>
      </w:r>
    </w:p>
    <w:p>
      <w:r>
        <w:rPr>
          <w:b/>
          <w:sz w:val="19"/>
        </w:rPr>
        <w:t xml:space="preserve">Übertragbarkeit: </w:t>
      </w:r>
      <w:r>
        <w:rPr>
          <w:sz w:val="19"/>
        </w:rPr>
        <w:t>USA, aber Sicherheitsbefund unabhängig von System; Frage der Protokollsicherheit übertragbar</w:t>
      </w:r>
    </w:p>
    <w:p>
      <w:r>
        <w:rPr>
          <w:color w:val="5A7D3A"/>
          <w:sz w:val="18"/>
        </w:rPr>
        <w:t>https://pubmed.ncbi.nlm.nih.gov/42640631/</w:t>
      </w:r>
    </w:p>
    <w:p>
      <w:pPr>
        <w:pStyle w:val="Heading2"/>
      </w:pPr>
      <w:r>
        <w:t>Spezielles Endotrachealtubus-System reduziert mikrobielle Vermischung zwischen Atemwegsetagen bei Beatmung</w:t>
      </w:r>
    </w:p>
    <w:p>
      <w:r>
        <w:rPr>
          <w:i/>
          <w:color w:val="666666"/>
          <w:sz w:val="18"/>
        </w:rPr>
        <w:t>Pilkowski AE et al.  ·  Respir Res  ·  01.08.2026  ·  PMID 42571013</w:t>
      </w:r>
    </w:p>
    <w:p>
      <w:r>
        <w:t>Randomisierte Pilotstudie (n=50, 21 mit kompletten Daten) zum Vergleich eines Spezial-Endotrachealtubus (Venner PneuX®) mit permanenter Cuff-Druckkontrolle, subglottischer Absaugung und biofilm-resistenter Beschichtung gegenüber Standard-Intubation bezüglich mikrobieller Austausche zwischen Atemwegsetagen als indirektes Messkriterium für Mikroaspiration bei Beatmungs-assoziierter Pneumonie (VAP).</w:t>
      </w:r>
    </w:p>
    <w:p>
      <w:r>
        <w:rPr>
          <w:b/>
        </w:rPr>
        <w:t xml:space="preserve">Ergebnis: </w:t>
      </w:r>
      <w:r>
        <w:t>Standard-Intubation führte zu progressiver mikrobieller Konvergenz zwischen Tubus und Trachealsekreten (Morisita-Horn 0,55→0,30, p=0,001) sowie Divergenz der Lungenregionen (0,08→0,31, p=0,003). Im Venner-PneuX-Gruppe zeigten sich keine signifikanten Distanzänderungen. Die Ergebnisse bieten biologische Plausibilität für bisher berichtete VAP-Reduktionen mit diesem System.</w:t>
      </w:r>
    </w:p>
    <w:p>
      <w:r>
        <w:rPr>
          <w:b/>
          <w:sz w:val="19"/>
        </w:rPr>
        <w:t xml:space="preserve">Übertragbarkeit: </w:t>
      </w:r>
      <w:r>
        <w:rPr>
          <w:sz w:val="19"/>
        </w:rPr>
        <w:t>Deutschland, prospektive Pilotdaten für klinisch relevante Prävention; externe Validierung ausstehend</w:t>
      </w:r>
    </w:p>
    <w:p>
      <w:r>
        <w:rPr>
          <w:color w:val="5A7D3A"/>
          <w:sz w:val="18"/>
        </w:rPr>
        <w:t>https://pubmed.ncbi.nlm.nih.gov/42571013/</w:t>
      </w:r>
    </w:p>
    <w:p>
      <w:pPr>
        <w:pStyle w:val="Heading2"/>
      </w:pPr>
      <w:r>
        <w:t>Therapieunterbrechungsfehler an automatisierten Dialysegeräten: 49 Fehlertypen systematisch kategorisiert und gelöst</w:t>
      </w:r>
    </w:p>
    <w:p>
      <w:r>
        <w:rPr>
          <w:i/>
          <w:color w:val="666666"/>
          <w:sz w:val="18"/>
        </w:rPr>
        <w:t>Albert A et al.  ·  BMC Health Serv Res  ·  08.08.2026  ·  PMID 42571003</w:t>
      </w:r>
    </w:p>
    <w:p>
      <w:r>
        <w:t>Retrospektive Analyse von Systemfehlern an HomeChoice-Dialysegeräten (2015–2023) in einer deutschen Referenzklinik mit Ziel, Therapieunterbrechungen zu dokumentieren und lösungsorientierte Strategien für Pflegepersonal und Patienten bereitzustellen.</w:t>
      </w:r>
    </w:p>
    <w:p>
      <w:r>
        <w:rPr>
          <w:b/>
        </w:rPr>
        <w:t xml:space="preserve">Ergebnis: </w:t>
      </w:r>
      <w:r>
        <w:t>49 verschiedene Fehlertypen in 138 Zwischenfällen über 8 Jahre identifiziert und in 8 Kategorien eingeteilt: Druckkammer-assoziiert (21,74%), Luft im System (19,57%, Fehler 2240 in 17,39%), Digitalboard/EEPROM (17,39%), Energiesystem (16,67%), Türöffnung (7,25%), Heizung (4,35%), ungeklärt (12,32%). Gesamt-Fehlerrate: &lt;0,25% der Behandlungssitzungen. Konkrete Troubleshooting-Algorithmen für Personal und Patienten bereitgestellt.</w:t>
      </w:r>
    </w:p>
    <w:p>
      <w:r>
        <w:rPr>
          <w:b/>
          <w:sz w:val="19"/>
        </w:rPr>
        <w:t xml:space="preserve">Übertragbarkeit: </w:t>
      </w:r>
      <w:r>
        <w:rPr>
          <w:sz w:val="19"/>
        </w:rPr>
        <w:t>Deutschland, routinelle Klinikdaten, direkt übertragbar für Schulung und Herstellerkommunikation</w:t>
      </w:r>
    </w:p>
    <w:p>
      <w:r>
        <w:rPr>
          <w:color w:val="5A7D3A"/>
          <w:sz w:val="18"/>
        </w:rPr>
        <w:t>https://pubmed.ncbi.nlm.nih.gov/42571003/</w:t>
      </w:r>
    </w:p>
    <w:p>
      <w:pPr>
        <w:pStyle w:val="Heading2"/>
      </w:pPr>
      <w:r>
        <w:t>Präoperative Optimierung vor Hüftgelenksersatz: kein signifikanter Effekt auf Infektionen oder Mortalität</w:t>
      </w:r>
    </w:p>
    <w:p>
      <w:r>
        <w:rPr>
          <w:i/>
          <w:color w:val="666666"/>
          <w:sz w:val="18"/>
        </w:rPr>
        <w:t>Sigurdardottir M et al.  ·  BMJ Open  ·  06.08.2026  ·  PMID 42562582</w:t>
      </w:r>
    </w:p>
    <w:p>
      <w:r>
        <w:t>Prospektive quasi-experimentelle Studie mit 1484 Patienten (Interventionsgruppe n=746, Kontrollgruppe n=738) zur Auswirkung eines multifaktoriellen Optimierungsprogramms 6–12 Monate vor elektiven Gelenkersatzoperationen auf oberflächliche Wundinfektionen (SSI), periprosthetic joint infections (PJI) und Mortalität über 3 Jahre.</w:t>
      </w:r>
    </w:p>
    <w:p>
      <w:r>
        <w:rPr>
          <w:b/>
        </w:rPr>
        <w:t xml:space="preserve">Ergebnis: </w:t>
      </w:r>
      <w:r>
        <w:t>Oberflächliche SSI nach 1 Jahr: 5,9% vs. 7,9% (HR 0,67, 95%-KI 0,45–1,01, nicht signifikant). PJI: 2,0% vs. 1,1% (HR 1,80, 95%-KI 0,76–4,30, nicht signifikant). Keine signifikanten Unterschiede bei Mortalität oder postoperativer Gesundheit nach 3 Jahren. Die Interventionsgruppe war zu 77% während der COVID-19-Pandemie operiert worden versus 5% in der Kontrollgruppe.</w:t>
      </w:r>
    </w:p>
    <w:p>
      <w:r>
        <w:rPr>
          <w:b/>
          <w:sz w:val="19"/>
        </w:rPr>
        <w:t xml:space="preserve">Übertragbarkeit: </w:t>
      </w:r>
      <w:r>
        <w:rPr>
          <w:sz w:val="19"/>
        </w:rPr>
        <w:t>Island, Strukturen ähnlich deutschem Gesundheitswesen, klare Lessons-learned für Qualitätsinterventionen</w:t>
      </w:r>
    </w:p>
    <w:p>
      <w:r>
        <w:rPr>
          <w:color w:val="5A7D3A"/>
          <w:sz w:val="18"/>
        </w:rPr>
        <w:t>https://pubmed.ncbi.nlm.nih.gov/42562582/</w:t>
      </w:r>
    </w:p>
    <w:p>
      <w:pPr>
        <w:pStyle w:val="Heading1"/>
      </w:pPr>
      <w:r>
        <w:t>Aufgenommen am 26.08.2026</w:t>
      </w:r>
    </w:p>
    <w:p>
      <w:pPr>
        <w:pStyle w:val="Heading2"/>
      </w:pPr>
      <w:r>
        <w:t>Verzögerte Antibiotikaverordnung mit Entscheidungshilfe reduzierte unangemessene Anwendung um ein Drittel</w:t>
      </w:r>
    </w:p>
    <w:p>
      <w:r>
        <w:rPr>
          <w:i/>
          <w:color w:val="666666"/>
          <w:sz w:val="18"/>
        </w:rPr>
        <w:t>Sievert EDC et al.  ·  Appl Psychol Health Well Being  ·  Aug. 2026  ·  PMID 42568140</w:t>
      </w:r>
    </w:p>
    <w:p>
      <w:r>
        <w:t>Online-Experiment mit 663 britischen Erwachsenen zur Wirkung von WHO-Entscheidungshilfematerial auf verzögerte Antibiotikaverordnungen bei vermuteten Virusinfektionen unter Verhaltensanreizen.</w:t>
      </w:r>
    </w:p>
    <w:p>
      <w:r>
        <w:rPr>
          <w:b/>
        </w:rPr>
        <w:t xml:space="preserve">Ergebnis: </w:t>
      </w:r>
      <w:r>
        <w:t>Unangemessene Antibiotikaverwendung war in allen Entscheidungsunterstützungs-Bedingungen niedriger als in Kontrolle (p&lt;0,001, ηG²=0,02). Entscheidungskonflikt sank signifikant in Interventions-Armen (p&lt;0,001, ηG²=0,02) durch verbesserte Wertklarheit und wahrgenommene Unterstützung. Kombination aus Entscheidungshilfe, Wertintegration und aktivem Symptommonitoring zeigte beste Effekte.</w:t>
      </w:r>
    </w:p>
    <w:p>
      <w:r>
        <w:rPr>
          <w:b/>
          <w:sz w:val="19"/>
        </w:rPr>
        <w:t xml:space="preserve">Übertragbarkeit: </w:t>
      </w:r>
      <w:r>
        <w:rPr>
          <w:sz w:val="19"/>
        </w:rPr>
        <w:t>UK mit NHS-Struktur; Antibiotika-Stewardship-Prinzipien in Deutschland etabliert, Übertragbarkeit gut.</w:t>
      </w:r>
    </w:p>
    <w:p>
      <w:r>
        <w:rPr>
          <w:color w:val="5A7D3A"/>
          <w:sz w:val="18"/>
        </w:rPr>
        <w:t>https://pubmed.ncbi.nlm.nih.gov/42568140/</w:t>
      </w:r>
    </w:p>
    <w:p>
      <w:pPr>
        <w:pStyle w:val="Heading2"/>
      </w:pPr>
      <w:r>
        <w:t>Strukturiertes Infektionsrisiko-Assessment identifiziert 65 % der Patienten als gefährdet</w:t>
      </w:r>
    </w:p>
    <w:p>
      <w:r>
        <w:rPr>
          <w:i/>
          <w:color w:val="666666"/>
          <w:sz w:val="18"/>
        </w:rPr>
        <w:t>Luís TB et al.  ·  Front Public Health  ·  23.07.2026  ·  PMID 42564447</w:t>
      </w:r>
    </w:p>
    <w:p>
      <w:r>
        <w:t>Multizentrisches Querschnitts-Observatorium mit 1.092 hospitalisierten Erwachsenen in Portugal zur Prävalenz und Risikofaktoren für Infektionen mittels RAC-Skala (Risk Assessment for Infection).</w:t>
      </w:r>
    </w:p>
    <w:p>
      <w:r>
        <w:rPr>
          <w:b/>
        </w:rPr>
        <w:t xml:space="preserve">Ergebnis: </w:t>
      </w:r>
      <w:r>
        <w:t>Moderate (53,6 %) oder hohe (11,4 %) Infektionsrisiken nach Perzentil-Stratifikation. Höhere Risiken assoziiert mit Alter, Multimorbidität, beeinträchtigter Gewebsintegrität, reduzierter Mobilität, Vorspitalisierung, Verlegung, Liegedauer, invasiven Prozeduren. ROC-Analyse mit guter Diskriminierung; Medizin-Stationen hatten signifikant höhere Risikoscores als Chirurgie.</w:t>
      </w:r>
    </w:p>
    <w:p>
      <w:r>
        <w:rPr>
          <w:b/>
          <w:sz w:val="19"/>
        </w:rPr>
        <w:t xml:space="preserve">Übertragbarkeit: </w:t>
      </w:r>
      <w:r>
        <w:rPr>
          <w:sz w:val="19"/>
        </w:rPr>
        <w:t>Portugal/SÜDEUROPA mit ähnlichen Dokumentationssystemen; RAC-Skala als strukturiertes Instrument universell anwendbar.</w:t>
      </w:r>
    </w:p>
    <w:p>
      <w:r>
        <w:rPr>
          <w:color w:val="5A7D3A"/>
          <w:sz w:val="18"/>
        </w:rPr>
        <w:t>https://pubmed.ncbi.nlm.nih.gov/42564447/</w:t>
      </w:r>
    </w:p>
    <w:p>
      <w:pPr>
        <w:pStyle w:val="Heading1"/>
      </w:pPr>
      <w:r>
        <w:t>Aufgenommen am 25.08.2026</w:t>
      </w:r>
    </w:p>
    <w:p>
      <w:pPr>
        <w:pStyle w:val="Heading2"/>
      </w:pPr>
      <w:r>
        <w:t>Online-adaptive Radiotherapie: Systemische FMEA identifiziert 300 Fehlermöglichkeiten</w:t>
      </w:r>
    </w:p>
    <w:p>
      <w:r>
        <w:rPr>
          <w:i/>
          <w:color w:val="666666"/>
          <w:sz w:val="18"/>
        </w:rPr>
        <w:t>Balaji D et al.  ·  J Appl Clin Med Phys  ·  Sept. 2026  ·  PMID 42638337</w:t>
      </w:r>
    </w:p>
    <w:p>
      <w:r>
        <w:t>Systematische Literaturübersicht von 11 Studien analysiert Fehlermodi und deren Auswirkungen (FMEA) in Workflows der Online-Adaptive Radiotherapie (MR-guided, CBCT-guided, MR-enhanced C-arm Systeme).</w:t>
      </w:r>
    </w:p>
    <w:p>
      <w:r>
        <w:rPr>
          <w:b/>
        </w:rPr>
        <w:t xml:space="preserve">Ergebnis: </w:t>
      </w:r>
      <w:r>
        <w:t>300 einzigartige Fehlermodi identifiziert, 49,6% als hochriskant (Klasse III) klassifiziert. Hochriskante Fehler konzentrieren sich in Online-Behandlungs-Phase, besonders bei Mensch-Computer-Interaktion und anatomischer Konturierung. Analyse zeigt Heterogenität in Risiko-Bewertungsmethoden, harmonisiert zu 3er-Klassifikation (Class I: niedrig, II: mittel, III: hoch).</w:t>
      </w:r>
    </w:p>
    <w:p>
      <w:r>
        <w:rPr>
          <w:b/>
          <w:sz w:val="19"/>
        </w:rPr>
        <w:t xml:space="preserve">Übertragbarkeit: </w:t>
      </w:r>
      <w:r>
        <w:rPr>
          <w:sz w:val="19"/>
        </w:rPr>
        <w:t>Deutschland und Benelux, vergleichbare Qualitätsmanagementsysteme in klinischen Zentren</w:t>
      </w:r>
    </w:p>
    <w:p>
      <w:r>
        <w:rPr>
          <w:color w:val="5A7D3A"/>
          <w:sz w:val="18"/>
        </w:rPr>
        <w:t>https://pubmed.ncbi.nlm.nih.gov/42638337/</w:t>
      </w:r>
    </w:p>
    <w:p>
      <w:pPr>
        <w:pStyle w:val="Heading2"/>
      </w:pPr>
      <w:r>
        <w:t>Nosokomiale Ausbrüche in Hämatologie-Onkologie: Strukturierte Analyse identifiziert Risikofaktoren</w:t>
      </w:r>
    </w:p>
    <w:p>
      <w:r>
        <w:rPr>
          <w:i/>
          <w:color w:val="666666"/>
          <w:sz w:val="18"/>
        </w:rPr>
        <w:t>Posselt SL et al.  ·  BMC Infect Dis  ·  20.08.2026  ·  PMID 42638092</w:t>
      </w:r>
    </w:p>
    <w:p>
      <w:r>
        <w:t>Strukturierte Analyse von 196 nosokomialen Ausbrüchen in Hämatologie und Onkologie aus internationaler Datenbank mit Betrachtung von Infektionserregern, Übertragungswegen und implementierten Infektionskontrollmaßnahmen.</w:t>
      </w:r>
    </w:p>
    <w:p>
      <w:r>
        <w:rPr>
          <w:b/>
        </w:rPr>
        <w:t xml:space="preserve">Ergebnis: </w:t>
      </w:r>
      <w:r>
        <w:t>Blutstream- und untere Atemwegsinfektionen waren am häufigsten; Pseudomonas aeruginosa und Enterokokken als Haupterreger. Multivariable Analyse identifizierte als unabhängig assoziiert mit hohem Infektionskontrollaufwand: Pilzerreger (OR 6,26; KI 1,60–24,44), multiresistente Bakterien (OR 6,01; KI 2,56–14,09), antibiotische Therapie (OR 2,97; KI 1,05–8,38), ≥10 Patienten in Ausbruch (OR 2,54; KI 1,11–5,81), direkter Kontakttransfer (OR 3,42; KI 1,43–8,16). Untere Atemwegsinfektionen stark assoziiert mit Mortalität (OR 7,95; KI 2,06–30,73).</w:t>
      </w:r>
    </w:p>
    <w:p>
      <w:r>
        <w:rPr>
          <w:b/>
          <w:sz w:val="19"/>
        </w:rPr>
        <w:t xml:space="preserve">Übertragbarkeit: </w:t>
      </w:r>
      <w:r>
        <w:rPr>
          <w:sz w:val="19"/>
        </w:rPr>
        <w:t>Deutschland, vergleichbare Surveillance-Standards und Dokumentationspflichten</w:t>
      </w:r>
    </w:p>
    <w:p>
      <w:r>
        <w:rPr>
          <w:color w:val="5A7D3A"/>
          <w:sz w:val="18"/>
        </w:rPr>
        <w:t>https://pubmed.ncbi.nlm.nih.gov/42638092/</w:t>
      </w:r>
    </w:p>
    <w:p>
      <w:pPr>
        <w:pStyle w:val="Heading2"/>
      </w:pPr>
      <w:r>
        <w:t>Arzneimittelwechselwirkungen: Unterschiede zwischen Schweizer und österreichischem Meldesystem</w:t>
      </w:r>
    </w:p>
    <w:p>
      <w:r>
        <w:rPr>
          <w:i/>
          <w:color w:val="666666"/>
          <w:sz w:val="18"/>
        </w:rPr>
        <w:t>Rainer M et al.  ·  PLoS One  ·  21.08.2026  ·  PMID 42627821</w:t>
      </w:r>
    </w:p>
    <w:p>
      <w:r>
        <w:t>Retrospektive Analyse von 1499 Meldungen zu Arzneimittelwechselwirkungen in Pharmakvigilanz-Systemen der Schweiz (n=1159) und Österreich (n=340) zwischen 2008 und April 2024 mit Fokus auf Unterschiede in Meldevolumen, Qualität und Systemeigenheiten.</w:t>
      </w:r>
    </w:p>
    <w:p>
      <w:r>
        <w:rPr>
          <w:b/>
        </w:rPr>
        <w:t xml:space="preserve">Ergebnis: </w:t>
      </w:r>
      <w:r>
        <w:t>Schweiz meldete 3,4-mal mehr Fälle als Österreich (5,8 vs. 1,7 Fälle/Monat). 80% (CH) bzw. 84% (Ö) als schwerwiegend klassifiziert. Polypharmie stark assoziiert mit schwerwiegenden Folgen (CH: ROR 3,71; KI 3,26–4,23, p&lt;0,0001; Ö: ROR 1,98; KI 1,60–2,44, p&lt;0,0001). Unterschiede in Meldeinhalten: Schweiz eher Mechanismen, Österreich eher Symptome. Unterschiede deuten auf Rolle von Systemdesign und klinischer Pharmazie hin.</w:t>
      </w:r>
    </w:p>
    <w:p>
      <w:r>
        <w:rPr>
          <w:b/>
          <w:sz w:val="19"/>
        </w:rPr>
        <w:t xml:space="preserve">Übertragbarkeit: </w:t>
      </w:r>
      <w:r>
        <w:rPr>
          <w:sz w:val="19"/>
        </w:rPr>
        <w:t>DACH, vergleichbare Gesundheitssysteme und Pharmakvigilanz-Strukturen</w:t>
      </w:r>
    </w:p>
    <w:p>
      <w:r>
        <w:rPr>
          <w:color w:val="5A7D3A"/>
          <w:sz w:val="18"/>
        </w:rPr>
        <w:t>https://pubmed.ncbi.nlm.nih.gov/42627821/</w:t>
      </w:r>
    </w:p>
    <w:p>
      <w:pPr>
        <w:pStyle w:val="Heading2"/>
      </w:pPr>
      <w:r>
        <w:t>Antibiotic Stewardship bei Harnwegsinfektionen im Alter senkte Resistenzen</w:t>
      </w:r>
    </w:p>
    <w:p>
      <w:r>
        <w:rPr>
          <w:i/>
          <w:color w:val="666666"/>
          <w:sz w:val="18"/>
        </w:rPr>
        <w:t>Attauabi M et al.  ·  Euro Surveill  ·  Aug. 2026  ·  PMID 42626792</w:t>
      </w:r>
    </w:p>
    <w:p>
      <w:r>
        <w:t>Nationale Registerstudie in Dänemark (1999–2023) untersucht Zusammenhang zwischen Antibiotikaverbrauch und Resistenzentwicklung gegen Pivmecillinam, Trimethoprim, Nitrofurantoin und Sulfamethizol bei Patienten ≥70 Jahren; Fokus auf Qualitätsverbesserungen seit 2005.</w:t>
      </w:r>
    </w:p>
    <w:p>
      <w:r>
        <w:rPr>
          <w:b/>
        </w:rPr>
        <w:t xml:space="preserve">Ergebnis: </w:t>
      </w:r>
      <w:r>
        <w:t>Höchster Antibiotikaverbrauch 2014 (447 Rezepte pro 1000 Personen ≥70 Jahre), bis 2023 um 28,4% gesunken. Resistenz gegen alle vier Substanzen in E. coli und K. pneumoniae signifikant rückläufig 2018–2023. Stewardship-Intensivierung nach 2013 mit aktualisierten Leitlinien positiv auf Verbrauch und Resistenzen wirksam.</w:t>
      </w:r>
    </w:p>
    <w:p>
      <w:r>
        <w:rPr>
          <w:b/>
          <w:sz w:val="19"/>
        </w:rPr>
        <w:t xml:space="preserve">Übertragbarkeit: </w:t>
      </w:r>
      <w:r>
        <w:rPr>
          <w:sz w:val="19"/>
        </w:rPr>
        <w:t>Skandinavien, vergleichbare Surveillance-Infrastruktur und Stewardship-Rahmenbedingungen</w:t>
      </w:r>
    </w:p>
    <w:p>
      <w:r>
        <w:rPr>
          <w:color w:val="5A7D3A"/>
          <w:sz w:val="18"/>
        </w:rPr>
        <w:t>https://pubmed.ncbi.nlm.nih.gov/42626792/</w:t>
      </w:r>
    </w:p>
    <w:p>
      <w:pPr>
        <w:pStyle w:val="Heading2"/>
      </w:pPr>
      <w:r>
        <w:t>Nosokomiale Infektionen nach Gastrointestinal-Krebsoperation: Neoadjuvante Radiotherapie als Risikofaktor</w:t>
      </w:r>
    </w:p>
    <w:p>
      <w:r>
        <w:rPr>
          <w:i/>
          <w:color w:val="666666"/>
          <w:sz w:val="18"/>
        </w:rPr>
        <w:t>Fieraru IM et al.  ·  Front Public Health  ·  05.08.2026  ·  PMID 42620635</w:t>
      </w:r>
    </w:p>
    <w:p>
      <w:r>
        <w:t>Prospektive Beobachtungsstudie in rumänischem Zentrum (211 Patienten, Mai 2023–Juli 2024) an Magen- und Kolonkarzinom-Operationen: 30-Tage-Infektionen dokumentiert, Risikofaktoren analysiert, Antibiotikaresistenzprofil beschrieben.</w:t>
      </w:r>
    </w:p>
    <w:p>
      <w:r>
        <w:rPr>
          <w:b/>
        </w:rPr>
        <w:t xml:space="preserve">Ergebnis: </w:t>
      </w:r>
      <w:r>
        <w:t>15,6% entwickelten ≥1 nosokomiale Infektion (39 Episoden). Chirurgische Wundinfektionen dominant nach unterem GI-Trakt (~46%), Geräte-/Atemwegsinfektionen nach oberem Trakt (~38%). Neoadjuvante Radiotherapie unabhängiger Risikofaktor bei Kolonkarzinom (adj. OR 3,25; KI 1,15–9,19; p=0,026). Von 27 kulturpositiven Isolaten 44,4% multiresistent, einschließlich Carbapenemase-Produzenten; 36,4% Infektionen ohne Kulturdokumentation.</w:t>
      </w:r>
    </w:p>
    <w:p>
      <w:r>
        <w:rPr>
          <w:b/>
          <w:sz w:val="19"/>
        </w:rPr>
        <w:t xml:space="preserve">Übertragbarkeit: </w:t>
      </w:r>
      <w:r>
        <w:rPr>
          <w:sz w:val="19"/>
        </w:rPr>
        <w:t>Osteuropa, aber Infektionserkennung und Dokumentationslücken sind universell relevant</w:t>
      </w:r>
    </w:p>
    <w:p>
      <w:r>
        <w:rPr>
          <w:color w:val="5A7D3A"/>
          <w:sz w:val="18"/>
        </w:rPr>
        <w:t>https://pubmed.ncbi.nlm.nih.gov/42620635/</w:t>
      </w:r>
    </w:p>
    <w:p>
      <w:pPr>
        <w:pStyle w:val="Heading2"/>
      </w:pPr>
      <w:r>
        <w:t>Pediatrisches Trigger-Tool für Deutschsprachige Kinder identifiziert Schäden reliabel</w:t>
      </w:r>
    </w:p>
    <w:p>
      <w:r>
        <w:rPr>
          <w:i/>
          <w:color w:val="666666"/>
          <w:sz w:val="18"/>
        </w:rPr>
        <w:t>Peters A et al.  ·  Eur J Pediatr  ·  17.08.2026  ·  PMID 42608613</w:t>
      </w:r>
    </w:p>
    <w:p>
      <w:r>
        <w:t>Methodische Studie in deutscher Kinderkardiologie (200 stationäre Patienten) entwickelt und validiert das Paediatric Trigger Tool German (PAED-TT-GER) zur retrospektiven Erkennung unerwünschter Ereignisse in Kinderkrankenhäusern.</w:t>
      </w:r>
    </w:p>
    <w:p>
      <w:r>
        <w:rPr>
          <w:b/>
        </w:rPr>
        <w:t xml:space="preserve">Ergebnis: </w:t>
      </w:r>
      <w:r>
        <w:t>57 Trigger ausgewählt (54 Normalstation + 3 PICU). Interrater-Reliabilität gut (ICC 0,794; KI 0,557–0,906). In 200 Patienten 472 Trigger identifiziert (Mittel 2,36/Patient), 45 unerwünschte Ereignisse in 42/200 Patienten (21%) bestätigt. NCC-MERP-Klassifikation: 24 Ereignisse temporärer Schaden mit Intervention (E), 19 verlängerte Hospitalisierung (F), 2 permanenter Schaden (G); 7 (15,6%) präventabel bewertet.</w:t>
      </w:r>
    </w:p>
    <w:p>
      <w:r>
        <w:rPr>
          <w:b/>
          <w:sz w:val="19"/>
        </w:rPr>
        <w:t xml:space="preserve">Übertragbarkeit: </w:t>
      </w:r>
      <w:r>
        <w:rPr>
          <w:sz w:val="19"/>
        </w:rPr>
        <w:t>Deutsches Kinderkardiologie-Zentrum, unmittelbar auf deutsches System übertragbar</w:t>
      </w:r>
    </w:p>
    <w:p>
      <w:r>
        <w:rPr>
          <w:color w:val="5A7D3A"/>
          <w:sz w:val="18"/>
        </w:rPr>
        <w:t>https://pubmed.ncbi.nlm.nih.gov/42608613/</w:t>
      </w:r>
    </w:p>
    <w:p>
      <w:pPr>
        <w:pStyle w:val="Heading2"/>
      </w:pPr>
      <w:r>
        <w:t>Hand-Hygiene-Champion-Programm erhöht Compliance auf Intensivstationen signifikant</w:t>
      </w:r>
    </w:p>
    <w:p>
      <w:r>
        <w:rPr>
          <w:i/>
          <w:color w:val="666666"/>
          <w:sz w:val="18"/>
        </w:rPr>
        <w:t>Batalla MGA et al.  ·  Br J Nurs  ·  06.08.2026  ·  PMID 42555589</w:t>
      </w:r>
    </w:p>
    <w:p>
      <w:r>
        <w:t>Qualitätsverbesserungsprojekt in zwei britischen Universitätsklinika (Februar 2025–Februar 2026) implementiert Hand-Hygiene-Champion-Rolle und misst deren Effekt auf Händehygiene-Compliance in der Intensivmedizin mit Plan-Do-Study-Act-Zyklus.</w:t>
      </w:r>
    </w:p>
    <w:p>
      <w:r>
        <w:rPr>
          <w:b/>
        </w:rPr>
        <w:t xml:space="preserve">Ergebnis: </w:t>
      </w:r>
      <w:r>
        <w:t>Händehygiene-Compliance signifikant höher in Interventionsgruppe mit Champions als in Kontrollgruppe. Compliance stieg über Zeit signifikant post-Implementierung der Hand-Hygiene-Champions an. Programm zeigt Praktikabilität zur Verbesserung Händehygiene-Einhaltung in ICU.</w:t>
      </w:r>
    </w:p>
    <w:p>
      <w:r>
        <w:rPr>
          <w:b/>
          <w:sz w:val="19"/>
        </w:rPr>
        <w:t xml:space="preserve">Übertragbarkeit: </w:t>
      </w:r>
      <w:r>
        <w:rPr>
          <w:sz w:val="19"/>
        </w:rPr>
        <w:t>Vereinigtes Königreich, aber aktive Surveillance mit Peer-Coaching ist international übertragbar</w:t>
      </w:r>
    </w:p>
    <w:p>
      <w:r>
        <w:rPr>
          <w:color w:val="5A7D3A"/>
          <w:sz w:val="18"/>
        </w:rPr>
        <w:t>https://pubmed.ncbi.nlm.nih.gov/42555589/</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Patientensicherheit</dc:title>
  <dc:subject/>
  <dc:creator>Monitor Versorgungsforschung</dc:creator>
  <cp:keywords/>
  <dc:description>generated by python-docx</dc:description>
  <cp:lastModifiedBy/>
  <cp:revision>1</cp:revision>
  <dcterms:created xsi:type="dcterms:W3CDTF">2026-10-20T06:00:00Z</dcterms:created>
  <dcterms:modified xsi:type="dcterms:W3CDTF">2026-10-20T06:00:00Z</dcterms:modified>
  <cp:category/>
</cp:coreProperties>
</file>