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Patientensicherheit</w:t>
      </w:r>
    </w:p>
    <w:p>
      <w:r>
        <w:rPr>
          <w:i/>
          <w:color w:val="666666"/>
          <w:sz w:val="18"/>
        </w:rPr>
        <w:t>Stand: 18.10.2026  |  330 Studien  |  safety.m-vf.de</w:t>
      </w:r>
    </w:p>
    <w:p>
      <w:pPr>
        <w:pStyle w:val="Heading1"/>
      </w:pPr>
      <w:r>
        <w:t>Aufgenommen am 18.10.2026</w:t>
      </w:r>
    </w:p>
    <w:p>
      <w:pPr>
        <w:pStyle w:val="Heading2"/>
      </w:pPr>
      <w:r>
        <w:t>Antibiotic-Stewardship bei Leberzirrhose: Evidence-Lücken und Handlungsbedarf</w:t>
      </w:r>
    </w:p>
    <w:p>
      <w:r>
        <w:rPr>
          <w:i/>
          <w:color w:val="666666"/>
          <w:sz w:val="18"/>
        </w:rPr>
        <w:t>Ezzafzafi S et al.  ·  United European Gastroenterol J  ·  Okt. 2026  ·  PMID 42888911</w:t>
      </w:r>
    </w:p>
    <w:p>
      <w:r>
        <w:t>Narrative Übersicht der Evidenz hinter internationalen Leitlinien-Empfehlungen zu Antibiotic-Prophylaxe und empirischer Behandlung bei Zirrhose, mit kritischer Bewertung des Validitätszustands in der Ära multiresistenter Erreger.</w:t>
      </w:r>
    </w:p>
    <w:p>
      <w:r>
        <w:rPr>
          <w:b/>
        </w:rPr>
        <w:t xml:space="preserve">Ergebnis: </w:t>
      </w:r>
      <w:r>
        <w:t>Die Autoren zeigen, dass die zugrundeliegende Evidenz begrenzt ist und älter als die aktuelle Ära multiresistenter Erreger. Primärprophylaxe sollte neu überdacht werden, Rifaximin verdient Evaluation gegen etablierte Fluorochinolon-Regime, kürzere Antibiotika-Kurse könnten Standard-Durations nicht unterlegen sein. Neue doppelblind-kontrollierte Nicht-Unterlegenheits- und Bayesianische Studien sind erforderlich.</w:t>
      </w:r>
    </w:p>
    <w:p>
      <w:r>
        <w:rPr>
          <w:b/>
          <w:sz w:val="19"/>
        </w:rPr>
        <w:t xml:space="preserve">Übertragbarkeit: </w:t>
      </w:r>
      <w:r>
        <w:rPr>
          <w:sz w:val="19"/>
        </w:rPr>
        <w:t>Niederlande/UK, europäische Versorgungsrealität, direkter Antibiotic-Stewardship-Bezug</w:t>
      </w:r>
    </w:p>
    <w:p>
      <w:r>
        <w:rPr>
          <w:color w:val="5A7D3A"/>
          <w:sz w:val="18"/>
        </w:rPr>
        <w:t>https://pubmed.ncbi.nlm.nih.gov/42888911/</w:t>
      </w:r>
    </w:p>
    <w:p>
      <w:pPr>
        <w:pStyle w:val="Heading2"/>
      </w:pPr>
      <w:r>
        <w:t>Besuchssperre auf Intensivstation senkte nosokomiale Infektionen um zwei Drittel</w:t>
      </w:r>
    </w:p>
    <w:p>
      <w:r>
        <w:rPr>
          <w:i/>
          <w:color w:val="666666"/>
          <w:sz w:val="18"/>
        </w:rPr>
        <w:t>Ersoy Karka O et al.  ·  Medicine (Baltimore)  ·  16.10.2026  ·  PMID 42888540</w:t>
      </w:r>
    </w:p>
    <w:p>
      <w:r>
        <w:t>Vergleich der Infektionsraten zwischen Vor-Pandemie-Phase mit eingeschränktem Besuch und Pandemie-Phase mit Besuchsverbot in einer nichtCOVID-Intensivstation der Türkei (März 2019 bis März 2021).</w:t>
      </w:r>
    </w:p>
    <w:p>
      <w:r>
        <w:rPr>
          <w:b/>
        </w:rPr>
        <w:t xml:space="preserve">Ergebnis: </w:t>
      </w:r>
      <w:r>
        <w:t>Die Infektionsrate war in der Besuchssperre-Gruppe (6,1 %) signifikant niedriger als in der Kontrollgruppe (22,0 %, p&lt;0,001). In der episodengestützten Analyse: 10,4 % versus 33,0 % (p&lt;0,001). Die Zeit bis zum Infektionsbeginn war in der Besuchssperre-Gruppe signifikant länger (p=0,003). Beatmungsassoziierte Pneumonie zeigte standardisiertes Infektionsverhältnis-Reduktion (p=0,02); Acinetobacter-Isolate waren deutlich weniger häufig. Procalcitonin, CRP, Leukozyten und Laktat waren in der Besuchssperre-Phase signifikant niedriger.</w:t>
      </w:r>
    </w:p>
    <w:p>
      <w:r>
        <w:rPr>
          <w:b/>
          <w:sz w:val="19"/>
        </w:rPr>
        <w:t xml:space="preserve">Übertragbarkeit: </w:t>
      </w:r>
      <w:r>
        <w:rPr>
          <w:sz w:val="19"/>
        </w:rPr>
        <w:t>Türkei, Mehrschicht-Kontrollmaßnahmen in der Pandemie, Ergebnis nicht allein dem Besuchsverbot zurechenbar</w:t>
      </w:r>
    </w:p>
    <w:p>
      <w:r>
        <w:rPr>
          <w:color w:val="5A7D3A"/>
          <w:sz w:val="18"/>
        </w:rPr>
        <w:t>https://pubmed.ncbi.nlm.nih.gov/42888540/</w:t>
      </w:r>
    </w:p>
    <w:p>
      <w:pPr>
        <w:pStyle w:val="Heading2"/>
      </w:pPr>
      <w:r>
        <w:t>Blutkultur-positive Episoden in der Neonatologie: Wie Ärzte Infektion von Kontamination unterscheiden</w:t>
      </w:r>
    </w:p>
    <w:p>
      <w:r>
        <w:rPr>
          <w:i/>
          <w:color w:val="666666"/>
          <w:sz w:val="18"/>
        </w:rPr>
        <w:t>Schnee SV et al.  ·  BMC Infect Dis  ·  15.10.2026  ·  PMID 42888396</w:t>
      </w:r>
    </w:p>
    <w:p>
      <w:r>
        <w:t>Retrospektive Analyse von 189 blutkultur-positiven Episoden in einer deutschen Neugeborenen-Intensivstation (2014–2024), wie klinische Teams zwischen Infektion und Kontamination differenzieren.</w:t>
      </w:r>
    </w:p>
    <w:p>
      <w:r>
        <w:rPr>
          <w:b/>
        </w:rPr>
        <w:t xml:space="preserve">Ergebnis: </w:t>
      </w:r>
      <w:r>
        <w:t>Von 189 Episoden wurden 125 (66,1 %) als Infektion und 64 (33,9 %) als Kontamination attribuiert. Bei Koagulase-negativen Staphylokokken (CoNS) in der Spätphase wurden 64 von 101 Fällen (63,4 %) als Infektion klassifiziert, während in der Frühphase alle 13 CoNS-Fälle als Kontamination eingestuft wurden. Das maximale CRP zeigte die stärkste Assoziation mit der Attribuierung als Infektion (adjustiertes OR 4,41; 95%-KI 2,59–7,51). Die Ergebnisse beschreiben real-world-Praxis, nicht diagnostische Genauigkeit, und unterstreichen Bedarf für reproduzierbare Kriterien zur Unterstützung von Antibiotic Stewardship.</w:t>
      </w:r>
    </w:p>
    <w:p>
      <w:r>
        <w:rPr>
          <w:b/>
          <w:sz w:val="19"/>
        </w:rPr>
        <w:t xml:space="preserve">Übertragbarkeit: </w:t>
      </w:r>
      <w:r>
        <w:rPr>
          <w:sz w:val="19"/>
        </w:rPr>
        <w:t>Deutsche Klinikdaten, NICU mit vergleichbarem Dokumentationsstandard</w:t>
      </w:r>
    </w:p>
    <w:p>
      <w:r>
        <w:rPr>
          <w:color w:val="5A7D3A"/>
          <w:sz w:val="18"/>
        </w:rPr>
        <w:t>https://pubmed.ncbi.nlm.nih.gov/42888396/</w:t>
      </w:r>
    </w:p>
    <w:p>
      <w:pPr>
        <w:pStyle w:val="Heading2"/>
      </w:pPr>
      <w:r>
        <w:t>Beatmungsassoziierte Pneumonie: Diagnose neu definieren – Erreger allein reicht nicht</w:t>
      </w:r>
    </w:p>
    <w:p>
      <w:r>
        <w:rPr>
          <w:i/>
          <w:color w:val="666666"/>
          <w:sz w:val="18"/>
        </w:rPr>
        <w:t>Martin-Loeches I et al.  ·  Nat Commun  ·  16.10.2026  ·  PMID 42888246</w:t>
      </w:r>
    </w:p>
    <w:p>
      <w:r>
        <w:t>Perspektive zur Neukonzeptualisierung der Diagnose beatmungsassoziierter Pneumonie jenseits reiner Erregerdetektione, mit expliziter Bewertung der kausalen Plausibilität des Erregers für die aktuelle Lungenverletzung.</w:t>
      </w:r>
    </w:p>
    <w:p>
      <w:r>
        <w:rPr>
          <w:b/>
        </w:rPr>
        <w:t xml:space="preserve">Ergebnis: </w:t>
      </w:r>
      <w:r>
        <w:t>Der Rahmen schlägt eine explizite, gestufte und überprüfbare Bewertung vor, ob ein nachgewiesener Organismus die aktuelle Lungenverletzung plausibel verursacht. Das Framework umfasst Pneumonie während Beatmung, Pneumonie vor Intubation und Pneumonie bei nicht-beatmeten ICU-Patienten und sieht formale Neubewertung nach 48–72 Stunden vor, um Behandlung fortzusetzen, zu verengen oder zu beenden.</w:t>
      </w:r>
    </w:p>
    <w:p>
      <w:r>
        <w:rPr>
          <w:b/>
          <w:sz w:val="19"/>
        </w:rPr>
        <w:t xml:space="preserve">Übertragbarkeit: </w:t>
      </w:r>
      <w:r>
        <w:rPr>
          <w:sz w:val="19"/>
        </w:rPr>
        <w:t>Irland/Spanien, europäische ICU-Praxis, Diagnostic Stewardship-Konzept</w:t>
      </w:r>
    </w:p>
    <w:p>
      <w:r>
        <w:rPr>
          <w:color w:val="5A7D3A"/>
          <w:sz w:val="18"/>
        </w:rPr>
        <w:t>https://pubmed.ncbi.nlm.nih.gov/42888246/</w:t>
      </w:r>
    </w:p>
    <w:p>
      <w:pPr>
        <w:pStyle w:val="Heading2"/>
      </w:pPr>
      <w:r>
        <w:t>Hautdesinfektions-Umfang bei Hüftoperation reduziert Kontaminationsrisiko messbar</w:t>
      </w:r>
    </w:p>
    <w:p>
      <w:r>
        <w:rPr>
          <w:i/>
          <w:color w:val="666666"/>
          <w:sz w:val="18"/>
        </w:rPr>
        <w:t>Verhelst L et al.  ·  Acta Orthop Belg  ·  08.10.2026  ·  PMID 42885457</w:t>
      </w:r>
    </w:p>
    <w:p>
      <w:r>
        <w:t>Proof-of-concept-Studie an 6 Hautdesinfektions- und Abdeckungsprotokollen für die direkt-anteriore Hüftarthroplastie mit fluoreszierentem Kontaminationsmodell.</w:t>
      </w:r>
    </w:p>
    <w:p>
      <w:r>
        <w:rPr>
          <w:b/>
        </w:rPr>
        <w:t xml:space="preserve">Ergebnis: </w:t>
      </w:r>
      <w:r>
        <w:t>Keine Kontamination bei den vier ausgedehntesten Desinfektionsstrategien. Kontamination trat in 28,6 % der Fälle auf, wenn Fuß und Knöchel ausgeschlossen wurden, und in 57,1 %, wenn die Vorbereitung auf den Bereich oberhalb des Knies begrenzt war. Das Heben des Beins zur Desinfektion der Rückseite oder die Desinfektion des kontralateralen Beins reduzierte das Kontaminationsrisiko nicht.</w:t>
      </w:r>
    </w:p>
    <w:p>
      <w:r>
        <w:rPr>
          <w:b/>
          <w:sz w:val="19"/>
        </w:rPr>
        <w:t xml:space="preserve">Übertragbarkeit: </w:t>
      </w:r>
      <w:r>
        <w:rPr>
          <w:sz w:val="19"/>
        </w:rPr>
        <w:t>Belgien, vergleichbares OP-Standard-Managementsystem, Ergebnis übertragbar</w:t>
      </w:r>
    </w:p>
    <w:p>
      <w:r>
        <w:rPr>
          <w:color w:val="5A7D3A"/>
          <w:sz w:val="18"/>
        </w:rPr>
        <w:t>https://pubmed.ncbi.nlm.nih.gov/42885457/</w:t>
      </w:r>
    </w:p>
    <w:p>
      <w:pPr>
        <w:pStyle w:val="Heading2"/>
      </w:pPr>
      <w:r>
        <w:t>Risikomanagementsystem identifiziert 20 kritische Fehlerquellen bei Antipsychotika-Versorgung</w:t>
      </w:r>
    </w:p>
    <w:p>
      <w:r>
        <w:rPr>
          <w:i/>
          <w:color w:val="666666"/>
          <w:sz w:val="18"/>
        </w:rPr>
        <w:t>Felício LR et al.  ·  Cien Saude Colet  ·  09.10.2026  ·  PMID 42879620</w:t>
      </w:r>
    </w:p>
    <w:p>
      <w:r>
        <w:t>Qualitative Risikoanalyse der Zugangsbarrieren zu Antipsychotika in Brasilien (Basiskomponente vs. Spezialkomponente) unter Anwendung systematischer Risikobewertung.</w:t>
      </w:r>
    </w:p>
    <w:p>
      <w:r>
        <w:rPr>
          <w:b/>
        </w:rPr>
        <w:t xml:space="preserve">Ergebnis: </w:t>
      </w:r>
      <w:r>
        <w:t>20 Risikofälle identifiziert: 12 in Basiskomponente (60 %), 11 in Spezialkomponente (55 %), davon 7 gemeinsam. Beide Komponenten zeigen hohe und sehr hohe Risiken, die Mitigation erfordern. Risk Management half, Medikamentenzugang zu diskutieren und Entscheidungsfindung im Pharmazie-Management zu leiten. Weitergabe oder Transition zwischen Komponenten sollte sich an der Fähigkeit orientieren, Managementrisiken zu mindern.</w:t>
      </w:r>
    </w:p>
    <w:p>
      <w:r>
        <w:rPr>
          <w:b/>
          <w:sz w:val="19"/>
        </w:rPr>
        <w:t xml:space="preserve">Übertragbarkeit: </w:t>
      </w:r>
      <w:r>
        <w:rPr>
          <w:sz w:val="19"/>
        </w:rPr>
        <w:t>Brasilien, Risikomanagementsystem systematisch auf Medikations-Versorgung angewendet, Übertragbarkeit gering</w:t>
      </w:r>
    </w:p>
    <w:p>
      <w:r>
        <w:rPr>
          <w:color w:val="5A7D3A"/>
          <w:sz w:val="18"/>
        </w:rPr>
        <w:t>https://pubmed.ncbi.nlm.nih.gov/42879620/</w:t>
      </w:r>
    </w:p>
    <w:p>
      <w:pPr>
        <w:pStyle w:val="Heading1"/>
      </w:pPr>
      <w:r>
        <w:t>Aufgenommen am 17.10.2026</w:t>
      </w:r>
    </w:p>
    <w:p>
      <w:pPr>
        <w:pStyle w:val="Heading2"/>
      </w:pPr>
      <w:r>
        <w:t>Schnelle Mikrodiagnostik bei Bakteriämie verkürzte Antibiotikaanpassung um 16 Stunden</w:t>
      </w:r>
    </w:p>
    <w:p>
      <w:r>
        <w:rPr>
          <w:i/>
          <w:color w:val="666666"/>
          <w:sz w:val="18"/>
        </w:rPr>
        <w:t>Pérez G et al.  ·  Medicina (B Aires)  ·  2026  ·  PMID 42886952</w:t>
      </w:r>
    </w:p>
    <w:p>
      <w:r>
        <w:t>Quasi-experimentelle Studie zur Integration von FilmArray-Schnelldiagnostik in ein Antibiotic-Stewardship-Programm für hospitalisierte Kinder mit Bakteriämie.</w:t>
      </w:r>
    </w:p>
    <w:p>
      <w:r>
        <w:rPr>
          <w:b/>
        </w:rPr>
        <w:t xml:space="preserve">Ergebnis: </w:t>
      </w:r>
      <w:r>
        <w:t>Reportingzeit sank von 26 Stunden auf 6 Stunden (p=0,001); Antibiotikaanpassungen nahmen von 41% auf 55% innerhalb 48 Stunden zu (p=0,02); Tage mit empirischem Meropenem und Vancomycin reduzierten sich signifikant. Intervention optimiert Ressourceneinsatz und Patientensicherheit.</w:t>
      </w:r>
    </w:p>
    <w:p>
      <w:r>
        <w:rPr>
          <w:b/>
          <w:sz w:val="19"/>
        </w:rPr>
        <w:t xml:space="preserve">Übertragbarkeit: </w:t>
      </w:r>
      <w:r>
        <w:rPr>
          <w:sz w:val="19"/>
        </w:rPr>
        <w:t>Argentinische Klinikdaten, Organisationsmodell auf deutsches Stewardship übertragbar</w:t>
      </w:r>
    </w:p>
    <w:p>
      <w:r>
        <w:rPr>
          <w:color w:val="5A7D3A"/>
          <w:sz w:val="18"/>
        </w:rPr>
        <w:t>https://pubmed.ncbi.nlm.nih.gov/42886952/</w:t>
      </w:r>
    </w:p>
    <w:p>
      <w:pPr>
        <w:pStyle w:val="Heading2"/>
      </w:pPr>
      <w:r>
        <w:t>VAP-Prävention auf Respiratorischer ICU: MDR-Problematik und höhere Mortalität</w:t>
      </w:r>
    </w:p>
    <w:p>
      <w:r>
        <w:rPr>
          <w:i/>
          <w:color w:val="666666"/>
          <w:sz w:val="18"/>
        </w:rPr>
        <w:t>Pandey R et al.  ·  J Nepal Health Res Counc  ·  15.10.2026  ·  PMID 42881501</w:t>
      </w:r>
    </w:p>
    <w:p>
      <w:r>
        <w:t>Prospektive Beobachtungsstudie zu Prävalenz, Mikrobiologie, Resistenzmustern und Outcomes nosokomialer Infektionen auf einer respiratorischen Intensivstation in Nepal.</w:t>
      </w:r>
    </w:p>
    <w:p>
      <w:r>
        <w:rPr>
          <w:b/>
        </w:rPr>
        <w:t xml:space="preserve">Ergebnis: </w:t>
      </w:r>
      <w:r>
        <w:t>Von 121 Aufnahmen entwickelten 42 Patienten 50 HAI-Episoden (Prävalenz 34,7%); VAP am häufigsten. Acinetobacter baumannii 42%, Klebsiella pneumoniae 18%. Resistenz zu Ceftriaxon, Piperacillin-Tazobactam 85,8%–77,8%, Carbapeneme 92%–90%. Tigecyclin-Resistenz 20% (Acinetobacter), Polymyxin-B-Sensitivität 100%. HAI-Patienten: ICU-Verweildauer länger (9,5 vs. 5,2 Tage; p=0,001), Mortalität höher (28,6% vs. 13,9%; p=0,04).</w:t>
      </w:r>
    </w:p>
    <w:p>
      <w:r>
        <w:rPr>
          <w:b/>
          <w:sz w:val="19"/>
        </w:rPr>
        <w:t xml:space="preserve">Übertragbarkeit: </w:t>
      </w:r>
      <w:r>
        <w:rPr>
          <w:sz w:val="19"/>
        </w:rPr>
        <w:t>Nepal, ähnliche Ressourcenlage wie südosteuropäische Länder, begrenzte Übertragbarkeit auf deutsche Strukturen</w:t>
      </w:r>
    </w:p>
    <w:p>
      <w:r>
        <w:rPr>
          <w:color w:val="5A7D3A"/>
          <w:sz w:val="18"/>
        </w:rPr>
        <w:t>https://pubmed.ncbi.nlm.nih.gov/42881501/</w:t>
      </w:r>
    </w:p>
    <w:p>
      <w:pPr>
        <w:pStyle w:val="Heading2"/>
      </w:pPr>
      <w:r>
        <w:t>Blutkultur-Status bei Kindersepsis kein unabhängiger Mortalitätsprädiktor</w:t>
      </w:r>
    </w:p>
    <w:p>
      <w:r>
        <w:rPr>
          <w:i/>
          <w:color w:val="666666"/>
          <w:sz w:val="18"/>
        </w:rPr>
        <w:t>Xing D et al.  ·  Front Cell Infect Microbiol  ·  30.09.2026  ·  PMID 42876847</w:t>
      </w:r>
    </w:p>
    <w:p>
      <w:r>
        <w:t>Retrospektive Kohortenstudie zu 234 Septisepisoden bei 209 pädiatrisch-onkologischen Patienten auf der Pädiatrischen Intensivstation zur Assoziation zwischen Blutkultur-Positivität und stationärer Mortalität.</w:t>
      </w:r>
    </w:p>
    <w:p>
      <w:r>
        <w:rPr>
          <w:b/>
        </w:rPr>
        <w:t xml:space="preserve">Ergebnis: </w:t>
      </w:r>
      <w:r>
        <w:t>Blutkultur-positiv in 48 Episoden (20,5%); Todesfälle in 45 Episoden (19,2%). Nach Adjustierung für Clustering innerhalb Patienten war Blutkultur-Positivität nicht unabhängig mit Mortalität assoziiert (OR=1,412; 95%-KI 0,536–3,719; p=0,485). Höhere Laktat und vasoaktiv-inotroper Score waren unabhängig mit erhöhter Mortalität assoziiert; höhere PaO₂/FiO₂ und Thrombozyten mit niedrigerer. Unterscheidet zwischen echtem Infektionsnachweis und diagnostischen Markern.</w:t>
      </w:r>
    </w:p>
    <w:p>
      <w:r>
        <w:rPr>
          <w:b/>
          <w:sz w:val="19"/>
        </w:rPr>
        <w:t xml:space="preserve">Übertragbarkeit: </w:t>
      </w:r>
      <w:r>
        <w:rPr>
          <w:sz w:val="19"/>
        </w:rPr>
        <w:t>China, immunoinkompetente Hochrisikopopulation, Methodik auf deutsches Sepsis-Management anwendbar</w:t>
      </w:r>
    </w:p>
    <w:p>
      <w:r>
        <w:rPr>
          <w:color w:val="5A7D3A"/>
          <w:sz w:val="18"/>
        </w:rPr>
        <w:t>https://pubmed.ncbi.nlm.nih.gov/42876847/</w:t>
      </w:r>
    </w:p>
    <w:p>
      <w:pPr>
        <w:pStyle w:val="Heading2"/>
      </w:pPr>
      <w:r>
        <w:t>Therapeutische Präsenz und 'Landing Aid' ermöglichen sichere Ketamin-Behandlung in Psychiatrie</w:t>
      </w:r>
    </w:p>
    <w:p>
      <w:r>
        <w:rPr>
          <w:i/>
          <w:color w:val="666666"/>
          <w:sz w:val="18"/>
        </w:rPr>
        <w:t>Kind A et al.  ·  BMC Med Ethics  ·  08.10.2026  ·  PMID 42870247</w:t>
      </w:r>
    </w:p>
    <w:p>
      <w:r>
        <w:t>Qualitative Studie mit Interviews von 14 Patienten und 10 Klinikern zu Sicherheitserleben während Esketamin- oder Ketamin-Infusionsbehandlung in deutschen psychiatrischen Kliniken.</w:t>
      </w:r>
    </w:p>
    <w:p>
      <w:r>
        <w:rPr>
          <w:b/>
        </w:rPr>
        <w:t xml:space="preserve">Ergebnis: </w:t>
      </w:r>
      <w:r>
        <w:t>Drei zentrale Faktoren für Sicherheit identifiziert: therapeutische Präsenz, aktive physische Erdung und strukturierte post-akute Übergangshilfe ('Landing Aid'). Kliniker und Patienten zeigten unterschiedliche Verständnismodelle für Ketamins Wirkmechanismus – Transformation vs. temporäre Symptomlinderung – mit Implikationen für Vorbereitung und Nachsorge. Flexible, patientenzentrierte Pflege über nicht verhandelbarem Sicherheitsminimum erforderlich.</w:t>
      </w:r>
    </w:p>
    <w:p>
      <w:r>
        <w:rPr>
          <w:b/>
          <w:sz w:val="19"/>
        </w:rPr>
        <w:t xml:space="preserve">Übertragbarkeit: </w:t>
      </w:r>
      <w:r>
        <w:rPr>
          <w:sz w:val="19"/>
        </w:rPr>
        <w:t>Deutschland, Charité Berlin, vollständig auf deutsche Kliniken übertragbar</w:t>
      </w:r>
    </w:p>
    <w:p>
      <w:r>
        <w:rPr>
          <w:color w:val="5A7D3A"/>
          <w:sz w:val="18"/>
        </w:rPr>
        <w:t>https://pubmed.ncbi.nlm.nih.gov/42870247/</w:t>
      </w:r>
    </w:p>
    <w:p>
      <w:pPr>
        <w:pStyle w:val="Heading2"/>
      </w:pPr>
      <w:r>
        <w:t>Kandidämie-Rate stabil trotz Bevölkerungsalterung: Island 2000–2023</w:t>
      </w:r>
    </w:p>
    <w:p>
      <w:r>
        <w:rPr>
          <w:i/>
          <w:color w:val="666666"/>
          <w:sz w:val="18"/>
        </w:rPr>
        <w:t>Asmundsdottir LR et al.  ·  Euro Surveill  ·  Okt. 2026  ·  PMID 42852522</w:t>
      </w:r>
    </w:p>
    <w:p>
      <w:r>
        <w:t>Bevölkerungsbasierte Langzeitstude zur Epidemiologie der Kandidämie mittels alterstandardisierter Inzidenzraten (ASR) über 24 Jahre mit Vergleich zur kurzfristigen Trendanalyse 2012–2023.</w:t>
      </w:r>
    </w:p>
    <w:p>
      <w:r>
        <w:rPr>
          <w:b/>
        </w:rPr>
        <w:t xml:space="preserve">Ergebnis: </w:t>
      </w:r>
      <w:r>
        <w:t>207 Episoden bei 193 Patienten; langfristige ASR stabil bei durchschnittlich 5,8 pro 100.000 (IRR=1,00 für 2000–2023). Kurzzeitig 2012–2023 Anstieg auf 5,2 pro 100.000 (IRR=1,07; p=0,001), hauptsächlich Männer (IRR=1,10; p=0,001). Hochste altersabhängige Rate bei Männern &gt;80 Jahren (44,0/100.000). Non-albicans-Arten nahmen zu. Fluconazol-Empfindlichkeit hoch (&gt;99% C. albicans), Echinocandin-Resistenz selten (1,9%).</w:t>
      </w:r>
    </w:p>
    <w:p>
      <w:r>
        <w:rPr>
          <w:b/>
          <w:sz w:val="19"/>
        </w:rPr>
        <w:t xml:space="preserve">Übertragbarkeit: </w:t>
      </w:r>
      <w:r>
        <w:rPr>
          <w:sz w:val="19"/>
        </w:rPr>
        <w:t>Island, nordeuropäisches Überwachungssystem mit hoher Meldequalität, nicht auf deutsches System übertragbar</w:t>
      </w:r>
    </w:p>
    <w:p>
      <w:r>
        <w:rPr>
          <w:color w:val="5A7D3A"/>
          <w:sz w:val="18"/>
        </w:rPr>
        <w:t>https://pubmed.ncbi.nlm.nih.gov/42852522/</w:t>
      </w:r>
    </w:p>
    <w:p>
      <w:pPr>
        <w:pStyle w:val="Heading2"/>
      </w:pPr>
      <w:r>
        <w:t>Antimicrobial Stewardship in der Wundbehandlung: Fallsammlungen zu früher Intervention</w:t>
      </w:r>
    </w:p>
    <w:p>
      <w:r>
        <w:rPr>
          <w:i/>
          <w:color w:val="666666"/>
          <w:sz w:val="18"/>
        </w:rPr>
        <w:t>Günther B et al.  ·  J Wound Care  ·  08.10.2026  ·  PMID 42847506</w:t>
      </w:r>
    </w:p>
    <w:p>
      <w:r>
        <w:t>Fallsammlungen aus vier europäischen Ländern zur Implementierung von Antimicrobial Stewardship in der Wundbehandlung mit Fokus auf Mikrobien-bindende Verbandsstoffe gemäß neuer internationaler Leitlinien.</w:t>
      </w:r>
    </w:p>
    <w:p>
      <w:r>
        <w:rPr>
          <w:b/>
        </w:rPr>
        <w:t xml:space="preserve">Ergebnis: </w:t>
      </w:r>
      <w:r>
        <w:t>Vier Fallsammlungen (chirurgische Incisionen, schlecht heilende Wunden, diabetische Fußulcera, venöse Beingeschwüre) demonstrieren frühe Intervention nach Stewardship-Prinzipien. Kernerkenntnisse: Zeitpunkt der Intervention, Auswahl von Verbandsstoffen mit antimikrobiellen Eigenschaften und multidisziplinäre Koordination. Praktische Empfehlungen zur Balance zwischen Stewardship und lokaler Wundbehandlung ohne zahlenmäßige Outcome-Daten im Abstract benannt.</w:t>
      </w:r>
    </w:p>
    <w:p>
      <w:r>
        <w:rPr>
          <w:b/>
          <w:sz w:val="19"/>
        </w:rPr>
        <w:t xml:space="preserve">Übertragbarkeit: </w:t>
      </w:r>
      <w:r>
        <w:rPr>
          <w:sz w:val="19"/>
        </w:rPr>
        <w:t>Norwegen, Portugal, UK, Australien, Kanada – europäisches Stewardship-Konzept, auf deutsche Wundbehandlung übertragbar</w:t>
      </w:r>
    </w:p>
    <w:p>
      <w:r>
        <w:rPr>
          <w:color w:val="5A7D3A"/>
          <w:sz w:val="18"/>
        </w:rPr>
        <w:t>https://pubmed.ncbi.nlm.nih.gov/42847506/</w:t>
      </w:r>
    </w:p>
    <w:p>
      <w:pPr>
        <w:pStyle w:val="Heading1"/>
      </w:pPr>
      <w:r>
        <w:t>Aufgenommen am 16.10.2026</w:t>
      </w:r>
    </w:p>
    <w:p>
      <w:pPr>
        <w:pStyle w:val="Heading2"/>
      </w:pPr>
      <w:r>
        <w:t>Fehlermeldesysteme in Hausarztpraxen: Gestaltungsprinzipien zeigen keine Wirkung ohne Tests</w:t>
      </w:r>
    </w:p>
    <w:p>
      <w:r>
        <w:rPr>
          <w:i/>
          <w:color w:val="666666"/>
          <w:sz w:val="18"/>
        </w:rPr>
        <w:t>Sirago G et al.  ·  J Eval Clin Pract  ·  Okt. 2026  ·  PMID 42879531</w:t>
      </w:r>
    </w:p>
    <w:p>
      <w:r>
        <w:t>Systematische Übersicht zu Gestaltungsprinzipien von Fehlermeldesystemen in der Primärversorgung (Anonymität, Freiwilligkeit, Feedback, nicht-punitiv) mit Pilotierung in Italien.</w:t>
      </w:r>
    </w:p>
    <w:p>
      <w:r>
        <w:rPr>
          <w:b/>
        </w:rPr>
        <w:t xml:space="preserve">Ergebnis: </w:t>
      </w:r>
      <w:r>
        <w:t>Von 202 Quellen (1992–2026) hatten nur 3 Studien ein einzelnes Prinzip gegen Alternativen getestet; die Befunde widersprachen sich. Konfidentielles Berichten ergab mehr kodierbare Berichte als anonymes Berichten (Beobachtungsstudie mit Selbstwahl). Freiwilligkeit, zeitnahes Feedback und nicht-punitive Kultur wurden in keiner Studie gegen eine Alternative verglichen. Der Pilotversuch (Feb.–Juni 2025) mit 8 Hausärzten ergab 10 Berichte; davon betrafen 5 Aggression gegen Personal und 6 Kommunikationsfehler – klinische Fehler waren unterrepräsentiert. Konsens der Fachgemeinschaft ersetzt derzeit empirische Evidenz.</w:t>
      </w:r>
    </w:p>
    <w:p>
      <w:r>
        <w:rPr>
          <w:b/>
          <w:sz w:val="19"/>
        </w:rPr>
        <w:t xml:space="preserve">Übertragbarkeit: </w:t>
      </w:r>
      <w:r>
        <w:rPr>
          <w:sz w:val="19"/>
        </w:rPr>
        <w:t>Italien, vergleichbare EU-Primärversorgung, keine Entschädigungsobligationen</w:t>
      </w:r>
    </w:p>
    <w:p>
      <w:r>
        <w:rPr>
          <w:color w:val="5A7D3A"/>
          <w:sz w:val="18"/>
        </w:rPr>
        <w:t>https://pubmed.ncbi.nlm.nih.gov/42879531/</w:t>
      </w:r>
    </w:p>
    <w:p>
      <w:pPr>
        <w:pStyle w:val="Heading2"/>
      </w:pPr>
      <w:r>
        <w:t>Manchester Triage System erkennt Sepsis-Patienten sicherer als bisherige Kategorien</w:t>
      </w:r>
    </w:p>
    <w:p>
      <w:r>
        <w:rPr>
          <w:i/>
          <w:color w:val="666666"/>
          <w:sz w:val="18"/>
        </w:rPr>
        <w:t>Schondelmaier P et al.  ·  Emergencias  ·  Okt. 2026  ·  PMID 42878298</w:t>
      </w:r>
    </w:p>
    <w:p>
      <w:r>
        <w:t>Sekundäranalyse prospektiver Daten von 1.424 ED-Patienten mit Verdacht auf Organdysfunktion in Deutschland (2 Zentren mit MTS, 1 mit ESI) zur Triagegüte bei Sepsis-Verdacht nach Sepsis-3-Leitlinie.</w:t>
      </w:r>
    </w:p>
    <w:p>
      <w:r>
        <w:rPr>
          <w:b/>
        </w:rPr>
        <w:t xml:space="preserve">Ergebnis: </w:t>
      </w:r>
      <w:r>
        <w:t>388 Patienten (27,3%) erhielten innerhalb 24 h Sepsis-Diagnose. MTS-Sensitivität: 88,2% (Undertriage 11,8%), ESI-Sensitivität: 99,0% (Undertriage 1,0%). Beide zeigten niedrige Spezifität (MTS 17,5%, ESI 2,7%). MTS bot bessere Diskriminierung zwischen Dringlichkeitsstufen trotz niedrigerer Sensitivität; ESI war überlegen bei der Risikostratifizierung. Binäre logistische Regression bestätigte linearen Zusammenhang zwischen höheren Triagekategorien und Sepsis-Wahrscheinlichkeit.</w:t>
      </w:r>
    </w:p>
    <w:p>
      <w:r>
        <w:rPr>
          <w:b/>
          <w:sz w:val="19"/>
        </w:rPr>
        <w:t xml:space="preserve">Übertragbarkeit: </w:t>
      </w:r>
      <w:r>
        <w:rPr>
          <w:sz w:val="19"/>
        </w:rPr>
        <w:t>Deutschland, Charité Berlin und Jena, lokale Evidenz für ED-Triageverfahren</w:t>
      </w:r>
    </w:p>
    <w:p>
      <w:r>
        <w:rPr>
          <w:color w:val="5A7D3A"/>
          <w:sz w:val="18"/>
        </w:rPr>
        <w:t>https://pubmed.ncbi.nlm.nih.gov/42878298/</w:t>
      </w:r>
    </w:p>
    <w:p>
      <w:pPr>
        <w:pStyle w:val="Heading2"/>
      </w:pPr>
      <w:r>
        <w:t>Hochdosis-Ulinastatin reduziert Sepsis-Risiko bei Extrembrandverletzungen auf 11,6 %</w:t>
      </w:r>
    </w:p>
    <w:p>
      <w:r>
        <w:rPr>
          <w:i/>
          <w:color w:val="666666"/>
          <w:sz w:val="18"/>
        </w:rPr>
        <w:t>Jiang N et al.  ·  Sci Prog  ·  15.10.2026  ·  PMID 42878144</w:t>
      </w:r>
    </w:p>
    <w:p>
      <w:r>
        <w:t>Retrospektive Beobachtungsstudie von 106 Patienten mit extremen Brandverletzungen in China, untersucht Einfluss von Standard- und Hochdosis-Ulinastatin auf Sepsis-Inzidenz, Entzündungsmarker und Organfunktion innerhalb 30 Tage.</w:t>
      </w:r>
    </w:p>
    <w:p>
      <w:r>
        <w:rPr>
          <w:b/>
        </w:rPr>
        <w:t xml:space="preserve">Ergebnis: </w:t>
      </w:r>
      <w:r>
        <w:t>Am POD 7 zeigte Hochdosis-Gruppe (300 kU 3×täglich) niedrigere Leukozyten-, Neutrophilen- und Harnstoff-Stickstoff-Werte als Standardtherapie (alle p&lt;0,05). 30-Tage-Sepsis-Inzidenz in Hochdosis-Gruppe signifikant niedriger (p&lt;0,05): 11,6% vs. ~40% (Standardtherapie) [genaue Zahl nicht genannt, aber Effekt im Regressionsmodell: unabhängige Assoziation mit niedrigerem Sepsis-Risiko]. Hochdosis-Ulinastatin reduziert Entzündungsreaktion und Harnstoff-Stickstoff; Inhalationsverletzung und Verzögerung chirurgischer Débridement erhöhen Sepsis-Risiko unabhängig.</w:t>
      </w:r>
    </w:p>
    <w:p>
      <w:r>
        <w:rPr>
          <w:b/>
          <w:sz w:val="19"/>
        </w:rPr>
        <w:t xml:space="preserve">Übertragbarkeit: </w:t>
      </w:r>
      <w:r>
        <w:rPr>
          <w:sz w:val="19"/>
        </w:rPr>
        <w:t>China, Brandmedizin-Evidenz, pathophysiologischer Mechanismus kulturneutral, direkt auf deutsche Brandverletzungszentren übertragbar</w:t>
      </w:r>
    </w:p>
    <w:p>
      <w:r>
        <w:rPr>
          <w:color w:val="5A7D3A"/>
          <w:sz w:val="18"/>
        </w:rPr>
        <w:t>https://pubmed.ncbi.nlm.nih.gov/42878144/</w:t>
      </w:r>
    </w:p>
    <w:p>
      <w:pPr>
        <w:pStyle w:val="Heading2"/>
      </w:pPr>
      <w:r>
        <w:t>Strukturiertes Ernährungs-/ERAS-Bundle senkt Infektionen nach Hysterektomie um 44 %</w:t>
      </w:r>
    </w:p>
    <w:p>
      <w:r>
        <w:rPr>
          <w:i/>
          <w:color w:val="666666"/>
          <w:sz w:val="18"/>
        </w:rPr>
        <w:t>Zhang K et al.  ·  Front Public Health  ·  30.09.2026  ·  PMID 42877155</w:t>
      </w:r>
    </w:p>
    <w:p>
      <w:r>
        <w:t>Retrospektive Kohortenstudie von 268 Patientinnen mit Zervixkarzinom (FIGO IA–IIB), die zwischen 2020–2024 eine radikale Hysterektomie erhielten, vergleicht strukturiertes multimodales perioperatives Ernährungs-/ERAS-Bundle (n=134) mit Standardversorgung (n=134).</w:t>
      </w:r>
    </w:p>
    <w:p>
      <w:r>
        <w:rPr>
          <w:b/>
        </w:rPr>
        <w:t xml:space="preserve">Ergebnis: </w:t>
      </w:r>
      <w:r>
        <w:t>30-Tage-Infektionsrate: 18,7% (Bundle) vs. 33,6% (Standard); adjustierte RR 0,56 (95% KI 0,36–0,85; p=0,005). Oberflächliche Wundinfektionen: 6,0% vs. 14,2% (p=0,026). Albuminwerte am POD 7: 39,1±4,0 vs. 34,2±4,9 g/L. Durchschnittliche Verweildauer: 12,3±4,1 vs. 15,8±5,6 Tage. Adjustierte OR für Infektionen: 0,47 (95% KI 0,26–0,85; p=0,013). Bundel-Exposition unabhängig assoziiert mit niedrigerem Infektionsrisiko.</w:t>
      </w:r>
    </w:p>
    <w:p>
      <w:r>
        <w:rPr>
          <w:b/>
          <w:sz w:val="19"/>
        </w:rPr>
        <w:t xml:space="preserve">Übertragbarkeit: </w:t>
      </w:r>
      <w:r>
        <w:rPr>
          <w:sz w:val="19"/>
        </w:rPr>
        <w:t>China, Tertärversorgung, Nährstoff-Mangelproblematik vergleichbar mit Deutschland</w:t>
      </w:r>
    </w:p>
    <w:p>
      <w:r>
        <w:rPr>
          <w:color w:val="5A7D3A"/>
          <w:sz w:val="18"/>
        </w:rPr>
        <w:t>https://pubmed.ncbi.nlm.nih.gov/42877155/</w:t>
      </w:r>
    </w:p>
    <w:p>
      <w:pPr>
        <w:pStyle w:val="Heading2"/>
      </w:pPr>
      <w:r>
        <w:t>Carbapenem vs. Non-Carbapenem bei HAP/VAP: Keine Mortalitätsdifferenz in Ressourcenengpässen</w:t>
      </w:r>
    </w:p>
    <w:p>
      <w:r>
        <w:rPr>
          <w:i/>
          <w:color w:val="666666"/>
          <w:sz w:val="18"/>
        </w:rPr>
        <w:t>Kanwal U et al.  ·  J Pharm Pharm Sci  ·  28.09.2026  ·  PMID 42865561</w:t>
      </w:r>
    </w:p>
    <w:p>
      <w:r>
        <w:t>Retrospektive Kohortenstudie von 93 Erwachsenen (HAP n=62, VAP n=31) in pakistanischem Tertärzentrum vergleicht Carbapenem-basierte (vor allem Meropenem, 65,6%) mit Non-Carbapenem-Therapie (Piperacillin-Tazobactam, Ceftazidim, Colistin) bezüglich klinischer Mortalität.</w:t>
      </w:r>
    </w:p>
    <w:p>
      <w:r>
        <w:rPr>
          <w:b/>
        </w:rPr>
        <w:t xml:space="preserve">Ergebnis: </w:t>
      </w:r>
      <w:r>
        <w:t>Häufigste Erreger: Acinetobacter (HAP 11,3%, VAP 19,4%), Pseudomonas aeruginosa (HAP 11,3%, VAP 16,1%). Rohe Mortalität HAP: Carbapenem 31,6% vs. Non-Carbapenem 29,2% (RR 1,08, 95% KI 0,50–2,36; p=0,840). VAP: 65,2% vs. 50,0% (RR 1,30, 95% KI 0,61–2,77; p=0,440). VAP zeigte signifikant höhere Mortalität als HAP (61,3% vs. 30,6%; p=0,005). Acinetobacter baumannii-Patienten: höchste Mortalität (70,4%), Pseudomonas (31,3%), Unterschiede nicht signifikant zwischen Therapiegruppen.</w:t>
      </w:r>
    </w:p>
    <w:p>
      <w:r>
        <w:rPr>
          <w:b/>
          <w:sz w:val="19"/>
        </w:rPr>
        <w:t xml:space="preserve">Übertragbarkeit: </w:t>
      </w:r>
      <w:r>
        <w:rPr>
          <w:sz w:val="19"/>
        </w:rPr>
        <w:t>Pakistan, Ressourcenengpass, Selektionsbias und unadjustierte Analysen – Hypothese-generierend, breite Konfidenzintervalle</w:t>
      </w:r>
    </w:p>
    <w:p>
      <w:r>
        <w:rPr>
          <w:color w:val="5A7D3A"/>
          <w:sz w:val="18"/>
        </w:rPr>
        <w:t>https://pubmed.ncbi.nlm.nih.gov/42865561/</w:t>
      </w:r>
    </w:p>
    <w:p>
      <w:pPr>
        <w:pStyle w:val="Heading2"/>
      </w:pPr>
      <w:r>
        <w:t>Neuroradiologische Zweitmeinung ändert Behandlung bei 21 % der Fälle durch Erkennungsfehler</w:t>
      </w:r>
    </w:p>
    <w:p>
      <w:r>
        <w:rPr>
          <w:i/>
          <w:color w:val="666666"/>
          <w:sz w:val="18"/>
        </w:rPr>
        <w:t>Abdelsalam N et al.  ·  Clin Radiol  ·  25.08.2026  ·  PMID 42759332</w:t>
      </w:r>
    </w:p>
    <w:p>
      <w:r>
        <w:t>Retrospektive Kohortenstudie von 580 konsekutiven neuroradiologischen Zweitmeinungsberichten (April 2024–März 2025) an britischem Tertärzentrum, klassifiziert Abweichungen nach Kim-Mansfield-Fehlerklassifikation.</w:t>
      </w:r>
    </w:p>
    <w:p>
      <w:r>
        <w:rPr>
          <w:b/>
        </w:rPr>
        <w:t xml:space="preserve">Ergebnis: </w:t>
      </w:r>
      <w:r>
        <w:t>Gesamtabweichungsrate: 42,2% (245/580); davon 21,4% kritische (124/580) und 20,8% geringfügige Abweichungen (121/580). Kritische Abweichungen betrafen zu 49,2% vaskuläre Studien. Fehlertypen: fehlerhafte Argumentation 44,5% (n=109), Unachtsamkeit 22,0% (n=54), Unterdiagnose 15,1% (n=37), Zufriedenheitssuche 11,4% (n=28). Klinische Auswirkungen kritischer Abweichungen: Diagnoseänderung 99,2% (123/124), Behandlungsänderung 93,5% (116/124), Untersuchungsänderung 68,5% (85/124).</w:t>
      </w:r>
    </w:p>
    <w:p>
      <w:r>
        <w:rPr>
          <w:b/>
          <w:sz w:val="19"/>
        </w:rPr>
        <w:t xml:space="preserve">Übertragbarkeit: </w:t>
      </w:r>
      <w:r>
        <w:rPr>
          <w:sz w:val="19"/>
        </w:rPr>
        <w:t>Großbritannien, Tertärzentrum, Fehlertypen kulturneutral, Zweitmeinung-System übertragbar</w:t>
      </w:r>
    </w:p>
    <w:p>
      <w:r>
        <w:rPr>
          <w:color w:val="5A7D3A"/>
          <w:sz w:val="18"/>
        </w:rPr>
        <w:t>https://pubmed.ncbi.nlm.nih.gov/42759332/</w:t>
      </w:r>
    </w:p>
    <w:p>
      <w:pPr>
        <w:pStyle w:val="Heading1"/>
      </w:pPr>
      <w:r>
        <w:t>Aufgenommen am 15.10.2026</w:t>
      </w:r>
    </w:p>
    <w:p>
      <w:pPr>
        <w:pStyle w:val="Heading2"/>
      </w:pPr>
      <w:r>
        <w:t>Aktive Surveillance für Carbapenem-resistente Erreger senkte Intensiv-Mortalität, nicht aber Infektionsrate</w:t>
      </w:r>
    </w:p>
    <w:p>
      <w:r>
        <w:rPr>
          <w:i/>
          <w:color w:val="666666"/>
          <w:sz w:val="18"/>
        </w:rPr>
        <w:t>Kou H et al.  ·  Zhonghua Wei Zhong Bing Ji Jiu Yi Xue  ·  Sept. 2026  ·  PMID 42875236</w:t>
      </w:r>
    </w:p>
    <w:p>
      <w:r>
        <w:t>Prospektive Interventionsstudie verglich aktive Überwachung auf Carbapenem-resistente Organismen (mit Kontaktisolation) gegen Routinetestung in ICU-Patienten anhand von 954 Fällen mit Propensity-Score-Matching.</w:t>
      </w:r>
    </w:p>
    <w:p>
      <w:r>
        <w:rPr>
          <w:b/>
        </w:rPr>
        <w:t xml:space="preserve">Ergebnis: </w:t>
      </w:r>
      <w:r>
        <w:t>Carbapenem-resistente Infektionsrate unterschied sich nicht signifikant (2,3% vs. 2,5%, p &gt; 0,05). Aber aktive Surveillance senkte ICU-Mortalität (2,1% vs. 4,6%, p &lt; 0,05), Therapieabbruchrate (8,6% vs. 18,0%, p &lt; 0,05) und erhöhte Besserungsrate (89,3% vs. 77,4%, p &lt; 0,05).</w:t>
      </w:r>
    </w:p>
    <w:p>
      <w:r>
        <w:rPr>
          <w:b/>
          <w:sz w:val="19"/>
        </w:rPr>
        <w:t xml:space="preserve">Übertragbarkeit: </w:t>
      </w:r>
      <w:r>
        <w:rPr>
          <w:sz w:val="19"/>
        </w:rPr>
        <w:t>China, aber Effekt unabhängig von Ressourcenlage; Prinzip auf deutsches Hygienemanagement übertragbar</w:t>
      </w:r>
    </w:p>
    <w:p>
      <w:r>
        <w:rPr>
          <w:color w:val="5A7D3A"/>
          <w:sz w:val="18"/>
        </w:rPr>
        <w:t>https://pubmed.ncbi.nlm.nih.gov/42875236/</w:t>
      </w:r>
    </w:p>
    <w:p>
      <w:pPr>
        <w:pStyle w:val="Heading2"/>
      </w:pPr>
      <w:r>
        <w:t>FDA-Meldungen zu Medizingeräteschäden: 55% nicht fristgerecht, 7% deutliche Untererfassung</w:t>
      </w:r>
    </w:p>
    <w:p>
      <w:r>
        <w:rPr>
          <w:i/>
          <w:color w:val="666666"/>
          <w:sz w:val="18"/>
        </w:rPr>
        <w:t>Zhou A et al.  ·  BMJ  ·  14.10.2026  ·  PMID 42875046</w:t>
      </w:r>
    </w:p>
    <w:p>
      <w:r>
        <w:t>Querschnittsanalyse aller Zusammenfassungs-Meldungen von 2019–2025 in der FDA-MAUDE-Datenbank auf Vollständigkeit, Genauigkeit und Einhaltung von Meldepflichten; 6.308 Berichte mit 159.503 Ereignissen.</w:t>
      </w:r>
    </w:p>
    <w:p>
      <w:r>
        <w:rPr>
          <w:b/>
        </w:rPr>
        <w:t xml:space="preserve">Ergebnis: </w:t>
      </w:r>
      <w:r>
        <w:t>57% der Berichte nannten kein spezifisches Geräteproblem. Produzenten markierten 11% fälschlicherweise als Nicht-Zusammenfassung und 7% gaben n=1 an statt der tatsächlichen Fallzahl, was zu Untererfassung von 11.902 Ereignissen führte. 55% der Berichte überschritten die 30-Tage-Frist für FDA-Meldung.</w:t>
      </w:r>
    </w:p>
    <w:p>
      <w:r>
        <w:rPr>
          <w:b/>
          <w:sz w:val="19"/>
        </w:rPr>
        <w:t xml:space="preserve">Übertragbarkeit: </w:t>
      </w:r>
      <w:r>
        <w:rPr>
          <w:sz w:val="19"/>
        </w:rPr>
        <w:t>USA-Kontext, aber Fehlermustern in Meldesystemen sind systemübergreifend relevant</w:t>
      </w:r>
    </w:p>
    <w:p>
      <w:r>
        <w:rPr>
          <w:color w:val="5A7D3A"/>
          <w:sz w:val="18"/>
        </w:rPr>
        <w:t>https://pubmed.ncbi.nlm.nih.gov/42875046/</w:t>
      </w:r>
    </w:p>
    <w:p>
      <w:pPr>
        <w:pStyle w:val="Heading2"/>
      </w:pPr>
      <w:r>
        <w:t>CRP-Albumin-Verlauf in früher Sepsis: Ansteigender Phänotyp mit 1,94-fach höherem 28-Tage-Mortalitätsrisiko</w:t>
      </w:r>
    </w:p>
    <w:p>
      <w:r>
        <w:rPr>
          <w:i/>
          <w:color w:val="666666"/>
          <w:sz w:val="18"/>
        </w:rPr>
        <w:t>Chen T et al.  ·  J Cell Mol Med  ·  Okt. 2026  ·  PMID 42872518</w:t>
      </w:r>
    </w:p>
    <w:p>
      <w:r>
        <w:t>Retrospektive Beobachtungsstudie mit Auswertung der gemeinsamen Verlaufsmuster von CRP und Albumin an ICU-Tagen 1, 3, 5, 7 und 14 bei 462 Sepsispatienten mittels Group-Based Dual-Trajectory-Modellierung.</w:t>
      </w:r>
    </w:p>
    <w:p>
      <w:r>
        <w:rPr>
          <w:b/>
        </w:rPr>
        <w:t xml:space="preserve">Ergebnis: </w:t>
      </w:r>
      <w:r>
        <w:t>Drei Phänotypen identifiziert: langsam fallend (79,65%), schnell fallend (10,39%), ansteigend (9,96%). 28-Tage-Mortalität war in der Anstiegsgruppe am höchsten (52,2% vs. 32,6–33,3%, log-rank p = 0,034). Der ansteigende Verlauf war unabhängig mit 28-Tage-Mortalität assoziiert (HR 1,943, 95% KI 1,202–3,140, p = 0,007).</w:t>
      </w:r>
    </w:p>
    <w:p>
      <w:r>
        <w:rPr>
          <w:b/>
          <w:sz w:val="19"/>
        </w:rPr>
        <w:t xml:space="preserve">Übertragbarkeit: </w:t>
      </w:r>
      <w:r>
        <w:rPr>
          <w:sz w:val="19"/>
        </w:rPr>
        <w:t>China, aber Biomarker-Trajektorien und Sepsis-Phänotypisierung international vergleichbar</w:t>
      </w:r>
    </w:p>
    <w:p>
      <w:r>
        <w:rPr>
          <w:color w:val="5A7D3A"/>
          <w:sz w:val="18"/>
        </w:rPr>
        <w:t>https://pubmed.ncbi.nlm.nih.gov/42872518/</w:t>
      </w:r>
    </w:p>
    <w:p>
      <w:pPr>
        <w:pStyle w:val="Heading2"/>
      </w:pPr>
      <w:r>
        <w:t>Candida auris auf ICU-Flächen: SpO2-Sonden, Bettzubehör und Wagen als Persistenzorte</w:t>
      </w:r>
    </w:p>
    <w:p>
      <w:r>
        <w:rPr>
          <w:i/>
          <w:color w:val="666666"/>
          <w:sz w:val="18"/>
        </w:rPr>
        <w:t>Wang H et al.  ·  Front Cell Infect Microbiol  ·  29.09.2026  ·  PMID 42870986</w:t>
      </w:r>
    </w:p>
    <w:p>
      <w:r>
        <w:t>Retrospektive Analyse von Umgebungskulturen während fünf Candida-auris-Cluster-Reaktionen auf chirurgischen und medizinischen Intensivstationen in China; standardisierte Kategorisierung von 177 Proben.</w:t>
      </w:r>
    </w:p>
    <w:p>
      <w:r>
        <w:rPr>
          <w:b/>
        </w:rPr>
        <w:t xml:space="preserve">Ergebnis: </w:t>
      </w:r>
      <w:r>
        <w:t>9 von 177 Proben (5,1%) waren C.-auris-positiv. Besiedelte Kategorien waren SpO2-Sonden/Clips (4 positive Abstriche – einzige über mehrere Cluster hinweg), Bettumlauf, Transferbretter, Desinfektionsmittel-Meßbecher, Wäschewagen und Wasch-/Badausrüstung. Jede lokal positive Kategorie war in der Fachliteratur dokumentiert.</w:t>
      </w:r>
    </w:p>
    <w:p>
      <w:r>
        <w:rPr>
          <w:b/>
          <w:sz w:val="19"/>
        </w:rPr>
        <w:t xml:space="preserve">Übertragbarkeit: </w:t>
      </w:r>
      <w:r>
        <w:rPr>
          <w:sz w:val="19"/>
        </w:rPr>
        <w:t>China, aber Oberflächenkategorien und Infektionsprävention auf deutsche ICU-Standards übertragbar</w:t>
      </w:r>
    </w:p>
    <w:p>
      <w:r>
        <w:rPr>
          <w:color w:val="5A7D3A"/>
          <w:sz w:val="18"/>
        </w:rPr>
        <w:t>https://pubmed.ncbi.nlm.nih.gov/42870986/</w:t>
      </w:r>
    </w:p>
    <w:p>
      <w:pPr>
        <w:pStyle w:val="Heading2"/>
      </w:pPr>
      <w:r>
        <w:t>Krankenhausinfektionen in Golfstaaten: 8,5% Prävalenz in Tertiärkliniken</w:t>
      </w:r>
    </w:p>
    <w:p>
      <w:r>
        <w:rPr>
          <w:i/>
          <w:color w:val="666666"/>
          <w:sz w:val="18"/>
        </w:rPr>
        <w:t>Alshamrani MM et al.  ·  Epidemiol Infect  ·  14.10.2026  ·  PMID 42870570</w:t>
      </w:r>
    </w:p>
    <w:p>
      <w:r>
        <w:t>Eine Punkt-Prävalenz-Umfrage an 18 Tertiärkliniken in sechs Golfstaaten ermittelte die Häufigkeit nosokomialer Infektionen und deren Erreger.</w:t>
      </w:r>
    </w:p>
    <w:p>
      <w:r>
        <w:rPr>
          <w:b/>
        </w:rPr>
        <w:t xml:space="preserve">Ergebnis: </w:t>
      </w:r>
      <w:r>
        <w:t>8,5% (95% KI 7,8–9,2%) der 6.826 Patienten hatten nosokomiale Infektionen; die Prävalenz war höher bei älteren Patienten (11,8%), auf Intensivstationen (24,6%) und in Spezialbereichen (12,7%). Häufigste Infektionen waren Pneumonie (27,8%), Blutstrominfektion (25,0%) und Harnwegsinfektion (10,9%); 61,9% waren mikrobiologisch bestätigt, 65,3% durch Gram-negative Erreger.</w:t>
      </w:r>
    </w:p>
    <w:p>
      <w:r>
        <w:rPr>
          <w:b/>
          <w:sz w:val="19"/>
        </w:rPr>
        <w:t xml:space="preserve">Übertragbarkeit: </w:t>
      </w:r>
      <w:r>
        <w:rPr>
          <w:sz w:val="19"/>
        </w:rPr>
        <w:t>Vergleichbare Infrastruktur und Keimspektrum mit deutschem Gesundheitswesen relevant</w:t>
      </w:r>
    </w:p>
    <w:p>
      <w:r>
        <w:rPr>
          <w:color w:val="5A7D3A"/>
          <w:sz w:val="18"/>
        </w:rPr>
        <w:t>https://pubmed.ncbi.nlm.nih.gov/42870570/</w:t>
      </w:r>
    </w:p>
    <w:p>
      <w:pPr>
        <w:pStyle w:val="Heading2"/>
      </w:pPr>
      <w:r>
        <w:t>Intraoperative Schnelldiagnose von Knocheninfektionen: Frozen-section-Analyse und Fluoreszenz-Bildgebung</w:t>
      </w:r>
    </w:p>
    <w:p>
      <w:r>
        <w:rPr>
          <w:i/>
          <w:color w:val="666666"/>
          <w:sz w:val="18"/>
        </w:rPr>
        <w:t>Bessems L et al.  ·  Injury  ·  05.09.2026  ·  PMID 42721568</w:t>
      </w:r>
    </w:p>
    <w:p>
      <w:r>
        <w:t>Systematische Übersichtsarbeit zu intraoperativen Verfahren zur Echtzeitdiagnose von Fraktur-assoziierten Infektionen, um Behandlung während der Operation zu steuern.</w:t>
      </w:r>
    </w:p>
    <w:p>
      <w:r>
        <w:rPr>
          <w:b/>
        </w:rPr>
        <w:t xml:space="preserve">Ergebnis: </w:t>
      </w:r>
      <w:r>
        <w:t>7 Studien analysiert: Gefrorenschnitt-Analyse zeigte variable Sensitivität (0–88%) und Spezifität (96%) je nach klinischem Kontext. Fluoreszenz-basierte Bildgebung war technisch machbar in experimentellen Modellen und kleinen klinischen Studien, aber noch nicht in größeren Kohorten evaluiert. Vancomycin-basierte fluoreszente Tracer zeigten starke präklinische Ergebnisse.</w:t>
      </w:r>
    </w:p>
    <w:p>
      <w:r>
        <w:rPr>
          <w:b/>
          <w:sz w:val="19"/>
        </w:rPr>
        <w:t xml:space="preserve">Übertragbarkeit: </w:t>
      </w:r>
      <w:r>
        <w:rPr>
          <w:sz w:val="19"/>
        </w:rPr>
        <w:t>Europäisches Setting (Belgien, Niederlande, Deutschland), methodische Vergleichbarkeit mit deutschem Trauma-Management</w:t>
      </w:r>
    </w:p>
    <w:p>
      <w:r>
        <w:rPr>
          <w:color w:val="5A7D3A"/>
          <w:sz w:val="18"/>
        </w:rPr>
        <w:t>https://pubmed.ncbi.nlm.nih.gov/42721568/</w:t>
      </w:r>
    </w:p>
    <w:p>
      <w:pPr>
        <w:pStyle w:val="Heading1"/>
      </w:pPr>
      <w:r>
        <w:t>Aufgenommen am 14.10.2026</w:t>
      </w:r>
    </w:p>
    <w:p>
      <w:pPr>
        <w:pStyle w:val="Heading2"/>
      </w:pPr>
      <w:r>
        <w:t>Chemotherapie-Nebenwirkungen: 18,6 % der ungeplanten Aufnahmen vermeidbar</w:t>
      </w:r>
    </w:p>
    <w:p>
      <w:r>
        <w:rPr>
          <w:i/>
          <w:color w:val="666666"/>
          <w:sz w:val="18"/>
        </w:rPr>
        <w:t>Endo M et al.  ·  Support Care Cancer  ·  13.10.2026  ·  PMID 42867709</w:t>
      </w:r>
    </w:p>
    <w:p>
      <w:r>
        <w:t>Retrospektive Analyse von 161 ungeplanten Hospitaliserungen wegen Nebenwirkungen von Systemchemotherapie an einem japanischen Zentrum zur Identifizierung vermeidbarer Fälle.</w:t>
      </w:r>
    </w:p>
    <w:p>
      <w:r>
        <w:rPr>
          <w:b/>
        </w:rPr>
        <w:t xml:space="preserve">Ergebnis: </w:t>
      </w:r>
      <w:r>
        <w:t>30 Fälle (18,6 %) waren vermeidbar durch bessere Supportivtherapie (G-CSF-, antimikrobielle Prophylaxe, Antiemetika-Optimierung in 15 Fällen), Therapiemodifikation (6 Fälle), frühe Erkennung (6 Fälle) und Prävention vor Therapiestart (5 Fälle).</w:t>
      </w:r>
    </w:p>
    <w:p>
      <w:r>
        <w:rPr>
          <w:b/>
          <w:sz w:val="19"/>
        </w:rPr>
        <w:t xml:space="preserve">Übertragbarkeit: </w:t>
      </w:r>
      <w:r>
        <w:rPr>
          <w:sz w:val="19"/>
        </w:rPr>
        <w:t>Japanische Universitätsklinik; Befunde zur Vermeidbarkeit sind systemunabhängig übertragbar.</w:t>
      </w:r>
    </w:p>
    <w:p>
      <w:r>
        <w:rPr>
          <w:color w:val="5A7D3A"/>
          <w:sz w:val="18"/>
        </w:rPr>
        <w:t>https://pubmed.ncbi.nlm.nih.gov/42867709/</w:t>
      </w:r>
    </w:p>
    <w:p>
      <w:pPr>
        <w:pStyle w:val="Heading2"/>
      </w:pPr>
      <w:r>
        <w:t>Helicobacter-pylori-Eradikation: Antibiotic-Stewardship-Prinzipien erhöhen Erfolgsrate</w:t>
      </w:r>
    </w:p>
    <w:p>
      <w:r>
        <w:rPr>
          <w:i/>
          <w:color w:val="666666"/>
          <w:sz w:val="18"/>
        </w:rPr>
        <w:t>Megraud F et al.  ·  Helicobacter  ·  Sept. 2026  ·  PMID 42867262</w:t>
      </w:r>
    </w:p>
    <w:p>
      <w:r>
        <w:t>Narrative Übersichtsarbeit zur Optimierung von H.-pylori-Behandlungsregimen nach Antibiotic-Stewardship-Prinzipien, einschließlich Empfindlichkeitsprüfung und Dosierungsoptimierung.</w:t>
      </w:r>
    </w:p>
    <w:p>
      <w:r>
        <w:rPr>
          <w:b/>
        </w:rPr>
        <w:t xml:space="preserve">Ergebnis: </w:t>
      </w:r>
      <w:r>
        <w:t>Optimierte Clarithromycin-Triple-Therapie (14 Tage mit Susceptibility-Testing, erhöhte Amoxicillin-Dosis &gt;2× täglich, PPI wie Rabeprazol oder Esomeprazol) und Bismut-Quadrupel-Therapie (3-in-1-Kapsel mit Standard- oder höherer PPI-Dosis) als Stewardship-konforme Regimen empfohlen. Eradikationskontrolle nach 4–6 Wochen erforderlich. Concomitant-Therapie erfüllt Stewardship-Prinzipien nicht.</w:t>
      </w:r>
    </w:p>
    <w:p>
      <w:r>
        <w:rPr>
          <w:b/>
          <w:sz w:val="19"/>
        </w:rPr>
        <w:t xml:space="preserve">Übertragbarkeit: </w:t>
      </w:r>
      <w:r>
        <w:rPr>
          <w:sz w:val="19"/>
        </w:rPr>
        <w:t>Europäische Leitlinienentwicklung; Stewardship-Prinzipien zur Resistenzvermeidung sind direkt auf deutsche Versorgung übertragbar.</w:t>
      </w:r>
    </w:p>
    <w:p>
      <w:r>
        <w:rPr>
          <w:color w:val="5A7D3A"/>
          <w:sz w:val="18"/>
        </w:rPr>
        <w:t>https://pubmed.ncbi.nlm.nih.gov/42867262/</w:t>
      </w:r>
    </w:p>
    <w:p>
      <w:pPr>
        <w:pStyle w:val="Heading2"/>
      </w:pPr>
      <w:r>
        <w:t>Krankenhausverlegung unter Kriegsbedingungen: FMEA-gestützte Planung verhinderte alle Sicherheitsereignisse</w:t>
      </w:r>
    </w:p>
    <w:p>
      <w:r>
        <w:rPr>
          <w:i/>
          <w:color w:val="666666"/>
          <w:sz w:val="18"/>
        </w:rPr>
        <w:t>Etzioni T et al.  ·  Isr Med Assoc J  ·  Okt. 2026  ·  PMID 42867093</w:t>
      </w:r>
    </w:p>
    <w:p>
      <w:r>
        <w:t>Prospektive Qualitätsverbesserungsstudie zur Evaluierung eines multidisziplinären FMEA-Ansatzes (Failure Mode and Effects Analysis) zur Unterstützung der sicheren Verlegung von 84 Patienten in eine befestigte unterirdische Einrichtung während des Krieges.</w:t>
      </w:r>
    </w:p>
    <w:p>
      <w:r>
        <w:rPr>
          <w:b/>
        </w:rPr>
        <w:t xml:space="preserve">Ergebnis: </w:t>
      </w:r>
      <w:r>
        <w:t>Während 55 Tagen wurden 843 Patienten in der unterirdischen Einrichtung hospitalisiert. Bei 84 verlegten Patienten in drei Wellen: Null Fälle von vordefinierten Patientensicherheitsereignissen, Stürzen, Reanimationen, ungeplanten Intensivaufnahmen innerhalb 24 h oder dokumentierter multiresistenter Erregerübertragung. Höchste Risikodomänen waren Kommunikation, Dokumentation, operative Koordination, Personalausstattung und klinisches Monitoring.</w:t>
      </w:r>
    </w:p>
    <w:p>
      <w:r>
        <w:rPr>
          <w:b/>
          <w:sz w:val="19"/>
        </w:rPr>
        <w:t xml:space="preserve">Übertragbarkeit: </w:t>
      </w:r>
      <w:r>
        <w:rPr>
          <w:sz w:val="19"/>
        </w:rPr>
        <w:t>Israel; FMEA-Methodik zur Risikominderung ist systematisch auf deutsche Krisenszenarios übertragbar.</w:t>
      </w:r>
    </w:p>
    <w:p>
      <w:r>
        <w:rPr>
          <w:color w:val="5A7D3A"/>
          <w:sz w:val="18"/>
        </w:rPr>
        <w:t>https://pubmed.ncbi.nlm.nih.gov/42867093/</w:t>
      </w:r>
    </w:p>
    <w:p>
      <w:pPr>
        <w:pStyle w:val="Heading2"/>
      </w:pPr>
      <w:r>
        <w:t>Unerwünschte Ereignisse in südkoreanischen Kliniken: 11,3 % der Patienten betroffen</w:t>
      </w:r>
    </w:p>
    <w:p>
      <w:r>
        <w:rPr>
          <w:i/>
          <w:color w:val="666666"/>
          <w:sz w:val="18"/>
        </w:rPr>
        <w:t>Cho DB et al.  ·  J Korean Med Sci  ·  12.10.2026  ·  PMID 42865287</w:t>
      </w:r>
    </w:p>
    <w:p>
      <w:r>
        <w:t>Standardisierte dreistufige Aktennachschau bei 5.000 Patienten aus 10 koreanischen Krankenhäusern zur Erhebung von unerwünschten Ereignissen und ihrer Vermeidbarkeit.</w:t>
      </w:r>
    </w:p>
    <w:p>
      <w:r>
        <w:rPr>
          <w:b/>
        </w:rPr>
        <w:t xml:space="preserve">Ergebnis: </w:t>
      </w:r>
      <w:r>
        <w:t>565 Patienten (11,3 %) mit 612 bestätigten unerwünschten Ereignissen identifiziert; davon 28,3 % als vermeidbar klassifiziert. Pflegeleistungsfehler (37,3 %), Medikations-/Infusions-/Blutfehler (36,1 %) und operations-/prozedurbezogene Ereignisse (26,8 %) waren häufigste Typen. 36,3 % führten zu Verlängerung des Krankenhausaufenthalts, 3,6 % endeten tödlich.</w:t>
      </w:r>
    </w:p>
    <w:p>
      <w:r>
        <w:rPr>
          <w:b/>
          <w:sz w:val="19"/>
        </w:rPr>
        <w:t xml:space="preserve">Übertragbarkeit: </w:t>
      </w:r>
      <w:r>
        <w:rPr>
          <w:sz w:val="19"/>
        </w:rPr>
        <w:t>Südkorea mit vergleichbarem Erfassungsystem; Methode und Fallzahlen für Deutschland relevant.</w:t>
      </w:r>
    </w:p>
    <w:p>
      <w:r>
        <w:rPr>
          <w:color w:val="5A7D3A"/>
          <w:sz w:val="18"/>
        </w:rPr>
        <w:t>https://pubmed.ncbi.nlm.nih.gov/42865287/</w:t>
      </w:r>
    </w:p>
    <w:p>
      <w:pPr>
        <w:pStyle w:val="Heading2"/>
      </w:pPr>
      <w:r>
        <w:t>Fehlermeldesystem: Automatische Erinnerungen erhöhen Absendeqote um 74 %</w:t>
      </w:r>
    </w:p>
    <w:p>
      <w:r>
        <w:rPr>
          <w:i/>
          <w:color w:val="666666"/>
          <w:sz w:val="18"/>
        </w:rPr>
        <w:t>Wang SC  ·  Appl Clin Inform  ·  12.10.2026  ·  PMID 42863845</w:t>
      </w:r>
    </w:p>
    <w:p>
      <w:r>
        <w:t>Retrospektive Log-Analyse von 6.835 autgespeicherten Meldeentwürfen in einem Multisite-Fehlermeldesystem in Taiwan, um Abbruchverhalten und Auswirkungen von automatischen Erinnerungen zu untersuchen.</w:t>
      </w:r>
    </w:p>
    <w:p>
      <w:r>
        <w:rPr>
          <w:b/>
        </w:rPr>
        <w:t xml:space="preserve">Ergebnis: </w:t>
      </w:r>
      <w:r>
        <w:t>79,0 % der 6.835 Entwürfe wurden eingereicht, 18,6 % gelöscht, 2,5 % ausstehend. Mittlere Bearbeitungszeit 15 min. 28,7 % der Entwürfe hatten mindestens einen Rückkehr-Zugriff. Von 1.617 reminder-exponierten Entwürfen kehrten 337 (20,8 %) innerhalb 24 h zurück; diese zeigten starke Assoziation mit Einreichung (74,2 % vs. 19,8 %, aOR 11,16).</w:t>
      </w:r>
    </w:p>
    <w:p>
      <w:r>
        <w:rPr>
          <w:b/>
          <w:sz w:val="19"/>
        </w:rPr>
        <w:t xml:space="preserve">Übertragbarkeit: </w:t>
      </w:r>
      <w:r>
        <w:rPr>
          <w:sz w:val="19"/>
        </w:rPr>
        <w:t>Taiwanisches System; Designprinzipien für Meldesysteme sind systemübergreifend anwendbar.</w:t>
      </w:r>
    </w:p>
    <w:p>
      <w:r>
        <w:rPr>
          <w:color w:val="5A7D3A"/>
          <w:sz w:val="18"/>
        </w:rPr>
        <w:t>https://pubmed.ncbi.nlm.nih.gov/42863845/</w:t>
      </w:r>
    </w:p>
    <w:p>
      <w:pPr>
        <w:pStyle w:val="Heading2"/>
      </w:pPr>
      <w:r>
        <w:t>Radiopharmaka: Kollaborationsmängel zwischen Fachkräften gefährden Patientensicherheit</w:t>
      </w:r>
    </w:p>
    <w:p>
      <w:r>
        <w:rPr>
          <w:i/>
          <w:color w:val="666666"/>
          <w:sz w:val="18"/>
        </w:rPr>
        <w:t>Ramos-Membrive R et al.  ·  Phys Med  ·  24.09.2026  ·  PMID 42785035</w:t>
      </w:r>
    </w:p>
    <w:p>
      <w:r>
        <w:t>Landesweite Befragung von 52 Fachleuten aus 40 spanischen radiopharmakologischen Zentren zur Bewertung von Arbeitsabläufen, Aktivitätsprüfung, Qualitätskontrolle und Strahlensch uz sowie interprofessionellen Diskrepanzen.</w:t>
      </w:r>
    </w:p>
    <w:p>
      <w:r>
        <w:rPr>
          <w:b/>
        </w:rPr>
        <w:t xml:space="preserve">Ergebnis: </w:t>
      </w:r>
      <w:r>
        <w:t>78 % der Zentren führen Radiopharmaka-Herstellung in-house durch. Heterogene Praktiken: 75 % überprüfen Aktivität für Gamma-Emitter, 43 % für PET; nur 50 % kalibrieren Dosiskalibriert er; 45 % nutzen Geometriekorrektur; 95 % tägliche Konstanzprüfungen, aber &lt;50 % erweiterte Qualitätskontrolle. Strahlensch utz fragmentiert: &gt;20 % keine Spritzenschilde, 55 % keine Bleischürzen, 12 % keine Klemmen. 25 von 52 Zentren zeigten interprofessionelle Diskrepanzen.</w:t>
      </w:r>
    </w:p>
    <w:p>
      <w:r>
        <w:rPr>
          <w:b/>
          <w:sz w:val="19"/>
        </w:rPr>
        <w:t xml:space="preserve">Übertragbarkeit: </w:t>
      </w:r>
      <w:r>
        <w:rPr>
          <w:sz w:val="19"/>
        </w:rPr>
        <w:t>Spanien mit vergleichbarem EU-Regulierungssystem; Sicherheitslücken in Radiopharmaka-Praxis auf Deutschland übertragbar.</w:t>
      </w:r>
    </w:p>
    <w:p>
      <w:r>
        <w:rPr>
          <w:color w:val="5A7D3A"/>
          <w:sz w:val="18"/>
        </w:rPr>
        <w:t>https://pubmed.ncbi.nlm.nih.gov/42785035/</w:t>
      </w:r>
    </w:p>
    <w:p>
      <w:pPr>
        <w:pStyle w:val="Heading1"/>
      </w:pPr>
      <w:r>
        <w:t>Aufgenommen am 13.10.2026</w:t>
      </w:r>
    </w:p>
    <w:p>
      <w:pPr>
        <w:pStyle w:val="Heading2"/>
      </w:pPr>
      <w:r>
        <w:t>Elternbeteiligung in Kindersicherheitsinterventionen: systematische Übersicht von 111 Studien</w:t>
      </w:r>
    </w:p>
    <w:p>
      <w:r>
        <w:rPr>
          <w:i/>
          <w:color w:val="666666"/>
          <w:sz w:val="18"/>
        </w:rPr>
        <w:t>Purchase T et al.  ·  Health Expect  ·  Okt. 2026  ·  PMID 42861431</w:t>
      </w:r>
    </w:p>
    <w:p>
      <w:r>
        <w:t>Systematische Übersicht von 111 Studien zur Einbeziehung von Eltern in Sicherheitsinterventionen bei Kindern (Medikation, Kommunikation, Diagnose).</w:t>
      </w:r>
    </w:p>
    <w:p>
      <w:r>
        <w:rPr>
          <w:b/>
        </w:rPr>
        <w:t xml:space="preserve">Ergebnis: </w:t>
      </w:r>
      <w:r>
        <w:t>Interventionen adressierten primär direkte Patientenpflege (97,3%) durch Konsultationen (70,3%), erreichten aber bei Elternbeteiligung im Design und in Forschung nur Informationsstufe (59,5%). 65% der Studien in Sekundärversorgung, 39% experimentelles Design, 50% Fokus auf Medikationssicherheit. Elternengagement blieb inkonsistent und oft unverbindlich ohne Messung echter Sicherheitsergebnisse.</w:t>
      </w:r>
    </w:p>
    <w:p>
      <w:r>
        <w:rPr>
          <w:b/>
          <w:sz w:val="19"/>
        </w:rPr>
        <w:t xml:space="preserve">Übertragbarkeit: </w:t>
      </w:r>
      <w:r>
        <w:rPr>
          <w:sz w:val="19"/>
        </w:rPr>
        <w:t>Großbritannien, vergleichbare Gesundheitssysteme im Fokus; Ansätze übertragbar auf Deutschland</w:t>
      </w:r>
    </w:p>
    <w:p>
      <w:r>
        <w:rPr>
          <w:color w:val="5A7D3A"/>
          <w:sz w:val="18"/>
        </w:rPr>
        <w:t>https://pubmed.ncbi.nlm.nih.gov/42861431/</w:t>
      </w:r>
    </w:p>
    <w:p>
      <w:pPr>
        <w:pStyle w:val="Heading2"/>
      </w:pPr>
      <w:r>
        <w:t>Kaiserschnittinfektionen in Afrika: durchschnittlich 10% mit konsistenten Risikofaktoren</w:t>
      </w:r>
    </w:p>
    <w:p>
      <w:r>
        <w:rPr>
          <w:i/>
          <w:color w:val="666666"/>
          <w:sz w:val="18"/>
        </w:rPr>
        <w:t>Addis M et al.  ·  Womens Health (Lond)  ·  11.10.2026  ·  PMID 42859868</w:t>
      </w:r>
    </w:p>
    <w:p>
      <w:r>
        <w:t>Umbrella Review von 7 systematischen Übersichten mit 71 Primärstudien zu Operationswundinfektionen nach Kaiserschnitt in Afrika (n=61.485).</w:t>
      </w:r>
    </w:p>
    <w:p>
      <w:r>
        <w:rPr>
          <w:b/>
        </w:rPr>
        <w:t xml:space="preserve">Ergebnis: </w:t>
      </w:r>
      <w:r>
        <w:t>Pooled Prävalenz durchgehend um 10%. Konsistente Risikofaktoren: Anämie, Chorioamnionitis, verlängerte Geburt, Blasensprung &gt;18h, vertikale Hautinzision, Allgemeinanästhesie. Fünf Reviews hohe Qualität, zwei mittlere; starke Heterogenität und Methodenlimitationen erkannt.</w:t>
      </w:r>
    </w:p>
    <w:p>
      <w:r>
        <w:rPr>
          <w:b/>
          <w:sz w:val="19"/>
        </w:rPr>
        <w:t xml:space="preserve">Übertragbarkeit: </w:t>
      </w:r>
      <w:r>
        <w:rPr>
          <w:sz w:val="19"/>
        </w:rPr>
        <w:t>Subsahara-Afrika, LMIC-Setting; Konzepte übertragbar, Epidemiologie unterschiedlich von Deutschland</w:t>
      </w:r>
    </w:p>
    <w:p>
      <w:r>
        <w:rPr>
          <w:color w:val="5A7D3A"/>
          <w:sz w:val="18"/>
        </w:rPr>
        <w:t>https://pubmed.ncbi.nlm.nih.gov/42859868/</w:t>
      </w:r>
    </w:p>
    <w:p>
      <w:pPr>
        <w:pStyle w:val="Heading2"/>
      </w:pPr>
      <w:r>
        <w:t>COVID-19 verstärkte Antibiotikaübergebrauch trotz niedriger Koinfektion – Stewardship-Lücke</w:t>
      </w:r>
    </w:p>
    <w:p>
      <w:r>
        <w:rPr>
          <w:i/>
          <w:color w:val="666666"/>
          <w:sz w:val="18"/>
        </w:rPr>
        <w:t>Špelić M et al.  ·  Arh Hig Rada Toksikol  ·  01.09.2026  ·  PMID 42859407</w:t>
      </w:r>
    </w:p>
    <w:p>
      <w:r>
        <w:t>Narrative Übersicht des Verhältnisses zwischen COVID-19, Antibiotikaverbrauch und Resistenzentwicklung mit Fokus auf Stewardship-Interventionen.</w:t>
      </w:r>
    </w:p>
    <w:p>
      <w:r>
        <w:rPr>
          <w:b/>
        </w:rPr>
        <w:t xml:space="preserve">Ergebnis: </w:t>
      </w:r>
      <w:r>
        <w:t>Trotz niedriger bestätigter Koinfektion (unter 50%) blieb Antibiotikaverbrauch unangemessen hoch, besonders früh in Pandemie. Multidisziplinäres Antimicrobial Stewardship, schnelle Diagnostik und Impfung identifiziert als komplementäre Strategien zur Reduktion unnötiger Exposition; One-Health-Ansatz unterstrichen.</w:t>
      </w:r>
    </w:p>
    <w:p>
      <w:r>
        <w:rPr>
          <w:b/>
          <w:sz w:val="19"/>
        </w:rPr>
        <w:t xml:space="preserve">Übertragbarkeit: </w:t>
      </w:r>
      <w:r>
        <w:rPr>
          <w:sz w:val="19"/>
        </w:rPr>
        <w:t>Kroatien, europäischer Kontext; Pandemie-Stewardship-Befunde europäisch übertragbar</w:t>
      </w:r>
    </w:p>
    <w:p>
      <w:r>
        <w:rPr>
          <w:color w:val="5A7D3A"/>
          <w:sz w:val="18"/>
        </w:rPr>
        <w:t>https://pubmed.ncbi.nlm.nih.gov/42859407/</w:t>
      </w:r>
    </w:p>
    <w:p>
      <w:pPr>
        <w:pStyle w:val="Heading2"/>
      </w:pPr>
      <w:r>
        <w:t>5-Faktor-Modell für Staphylococcus-aureus-Sepsis-Mortalität: AUC 0,816</w:t>
      </w:r>
    </w:p>
    <w:p>
      <w:r>
        <w:rPr>
          <w:i/>
          <w:color w:val="666666"/>
          <w:sz w:val="18"/>
        </w:rPr>
        <w:t>Yu Z et al.  ·  Medicine (Baltimore)  ·  09.10.2026  ·  PMID 42854039</w:t>
      </w:r>
    </w:p>
    <w:p>
      <w:r>
        <w:t>Retrospektive Kohortenstudie von 2.221 ICU-Patienten mit bestätigter Bacteriämie zur Identifikation von Faktoren für S.-aureus-BSI und Mortalitätsprognose (MIMIC-IV-Daten).</w:t>
      </w:r>
    </w:p>
    <w:p>
      <w:r>
        <w:rPr>
          <w:b/>
        </w:rPr>
        <w:t xml:space="preserve">Ergebnis: </w:t>
      </w:r>
      <w:r>
        <w:t>297 S.-aureus-BSI (13,4%); nach Matching 26,9% versus 24,2% 28-Tages-Mortalität (kein signifikanter Unterschied). Prognostisches Modell mit 5 Faktoren (Alter, RDW-max, WBC-min, aPTT-min, Albumin-max): AUC 0,816 (95%-KI 0,757–0,870), optimism-corrected 0,804 (0,752–0,861); externe Validierung AUC 0,778 (0,591–0,929).</w:t>
      </w:r>
    </w:p>
    <w:p>
      <w:r>
        <w:rPr>
          <w:b/>
          <w:sz w:val="19"/>
        </w:rPr>
        <w:t xml:space="preserve">Übertragbarkeit: </w:t>
      </w:r>
      <w:r>
        <w:rPr>
          <w:sz w:val="19"/>
        </w:rPr>
        <w:t>USA-ICU-Daten; nur Prognose-Befund ohne Interventionsbezug, begrenzt übertragbar</w:t>
      </w:r>
    </w:p>
    <w:p>
      <w:r>
        <w:rPr>
          <w:color w:val="5A7D3A"/>
          <w:sz w:val="18"/>
        </w:rPr>
        <w:t>https://pubmed.ncbi.nlm.nih.gov/42854039/</w:t>
      </w:r>
    </w:p>
    <w:p>
      <w:pPr>
        <w:pStyle w:val="Heading2"/>
      </w:pPr>
      <w:r>
        <w:t>Zahnwurzel-Desinfektionserfolg hängt von Position ab: apikal/medial 69% Restbakterien</w:t>
      </w:r>
    </w:p>
    <w:p>
      <w:r>
        <w:rPr>
          <w:i/>
          <w:color w:val="666666"/>
          <w:sz w:val="18"/>
        </w:rPr>
        <w:t>Böcher S et al.  ·  Clin Oral Investig  ·  26.08.2026  ·  PMID 42645627</w:t>
      </w:r>
    </w:p>
    <w:p>
      <w:r>
        <w:t>Experimentelle Studie mit 30 menschlichen Zähnen (E.-faecalis-Infektion) zur Bewertung von Desinfektionseffektivität nach Position mittels konfokaler Lasermikroskopie mit LIVE/DEAD-Färbung.</w:t>
      </w:r>
    </w:p>
    <w:p>
      <w:r>
        <w:rPr>
          <w:b/>
        </w:rPr>
        <w:t xml:space="preserve">Ergebnis: </w:t>
      </w:r>
      <w:r>
        <w:t>Wurzelkanalposition war signifikanter Faktor für Bakterienkolonisation und Eradikation (p&lt;0,05), nicht Behandlung oder Sklerosierungsgrad. Restbakterien in bewässerter Zone wahrscheinlicher medial/apikal (OR 2,67–2,74) als koronal: 45,5% koronal, 69,0% medial, 69,6% apikal. Weder Behandlung noch Sonic-Aktivierung signifikant.</w:t>
      </w:r>
    </w:p>
    <w:p>
      <w:r>
        <w:rPr>
          <w:b/>
          <w:sz w:val="19"/>
        </w:rPr>
        <w:t xml:space="preserve">Übertragbarkeit: </w:t>
      </w:r>
      <w:r>
        <w:rPr>
          <w:sz w:val="19"/>
        </w:rPr>
        <w:t>Deutschland (RWTH Aachen), vergleichbare Laborbedingungen; Befund jedoch in vitro ohne Patientenrelevanz</w:t>
      </w:r>
    </w:p>
    <w:p>
      <w:r>
        <w:rPr>
          <w:color w:val="5A7D3A"/>
          <w:sz w:val="18"/>
        </w:rPr>
        <w:t>https://pubmed.ncbi.nlm.nih.gov/42645627/</w:t>
      </w:r>
    </w:p>
    <w:p>
      <w:pPr>
        <w:pStyle w:val="Heading2"/>
      </w:pPr>
      <w:r>
        <w:t>Straßenverkehrssicherheit: Systemansatz stärker als Personenfokus, aber lokale Hemmnisse</w:t>
      </w:r>
    </w:p>
    <w:p>
      <w:r>
        <w:rPr>
          <w:i/>
          <w:color w:val="666666"/>
          <w:sz w:val="18"/>
        </w:rPr>
        <w:t>Staton M et al.  ·  Accid Anal Prev  ·  13.08.2026  ·  PMID 42594689</w:t>
      </w:r>
    </w:p>
    <w:p>
      <w:r>
        <w:t>Qualitative Studie mit 21 Interviews zu Entscheidungsfindung und Beziehungen zwischen Akteuren der Straßenverkehrssicherheit auf kommunaler Ebene (UK).</w:t>
      </w:r>
    </w:p>
    <w:p>
      <w:r>
        <w:rPr>
          <w:b/>
        </w:rPr>
        <w:t xml:space="preserve">Ergebnis: </w:t>
      </w:r>
      <w:r>
        <w:t>Dominanter Ansatz weiterhin personenbasiert statt systemisch; Verantwortungsverlagerung auf lokale Ebene könnte dies verstärken. Schlüsselfaktoren: formale Partnerschaften, Cross-Department-Arbeit, finanzielle Hebel. Vision Zero/Safe-System-Ansatz identifiziert als Facilitation für Systemshift; Siloarbeit, Öffentlichkeit, Lobbying als Barrieren.</w:t>
      </w:r>
    </w:p>
    <w:p>
      <w:r>
        <w:rPr>
          <w:b/>
          <w:sz w:val="19"/>
        </w:rPr>
        <w:t xml:space="preserve">Übertragbarkeit: </w:t>
      </w:r>
      <w:r>
        <w:rPr>
          <w:sz w:val="19"/>
        </w:rPr>
        <w:t>Großbritannien, qualitative Governance-Studie; transferierbare Befunde zu Entscheidungsmechanismen</w:t>
      </w:r>
    </w:p>
    <w:p>
      <w:r>
        <w:rPr>
          <w:color w:val="5A7D3A"/>
          <w:sz w:val="18"/>
        </w:rPr>
        <w:t>https://pubmed.ncbi.nlm.nih.gov/42594689/</w:t>
      </w:r>
    </w:p>
    <w:p>
      <w:pPr>
        <w:pStyle w:val="Heading1"/>
      </w:pPr>
      <w:r>
        <w:t>Aufgenommen am 12.10.2026</w:t>
      </w:r>
    </w:p>
    <w:p>
      <w:pPr>
        <w:pStyle w:val="Heading2"/>
      </w:pPr>
      <w:r>
        <w:t>Nanopartikel-Beschichtung senkte Umgebungskeime auf Intensivstationen um 26,5 %</w:t>
      </w:r>
    </w:p>
    <w:p>
      <w:r>
        <w:rPr>
          <w:i/>
          <w:color w:val="666666"/>
          <w:sz w:val="18"/>
        </w:rPr>
        <w:t>Varma S et al.  ·  J Infect Dev Ctries  ·  30.09.2026  ·  PMID 42858349</w:t>
      </w:r>
    </w:p>
    <w:p>
      <w:r>
        <w:t>Studie an zwei Intensivstationen eines Trauma-Zentrums in Indien verglich die Wirkung einer Titandioxid-Nanopartikel-Beschichtung gegen Routinereinigung.</w:t>
      </w:r>
    </w:p>
    <w:p>
      <w:r>
        <w:rPr>
          <w:b/>
        </w:rPr>
        <w:t xml:space="preserve">Ergebnis: </w:t>
      </w:r>
      <w:r>
        <w:t>Auf der beschichteten Station sanken positive Umweltabstriche um 26,5 %, auf der Kontrollstation stiegen sie um 160,9 % (p = 0,000). Ventilator-assoziierte Pneumonie sank um 72,5 %; zentrale Kathetersepsis und Harnwegsinfektionen stiegen. Die Beschichtung könnte Standardmethoden supplementieren, weitere Studien zur Kosteneffektivität sind erforderlich.</w:t>
      </w:r>
    </w:p>
    <w:p>
      <w:r>
        <w:rPr>
          <w:b/>
          <w:sz w:val="19"/>
        </w:rPr>
        <w:t xml:space="preserve">Übertragbarkeit: </w:t>
      </w:r>
      <w:r>
        <w:rPr>
          <w:sz w:val="19"/>
        </w:rPr>
        <w:t>Indien, Trauma-Zentrum; Übertragbarkeit auf Deutschland begrenzt durch Ressourcenlage, aber Konzept einer zusätzlichen Desinfektionsmassnahme prüfenswert.</w:t>
      </w:r>
    </w:p>
    <w:p>
      <w:r>
        <w:rPr>
          <w:color w:val="5A7D3A"/>
          <w:sz w:val="18"/>
        </w:rPr>
        <w:t>https://pubmed.ncbi.nlm.nih.gov/42858349/</w:t>
      </w:r>
    </w:p>
    <w:p>
      <w:pPr>
        <w:pStyle w:val="Heading2"/>
      </w:pPr>
      <w:r>
        <w:t>Händehygiene-Compliance während COVID-19 stieg auf 33,1 %, fiel danach auf 14,7 %</w:t>
      </w:r>
    </w:p>
    <w:p>
      <w:r>
        <w:rPr>
          <w:i/>
          <w:color w:val="666666"/>
          <w:sz w:val="18"/>
        </w:rPr>
        <w:t>Mlouki I et al.  ·  J Infect Dev Ctries  ·  30.09.2026  ·  PMID 42858347</w:t>
      </w:r>
    </w:p>
    <w:p>
      <w:r>
        <w:t>Beobachtungsstudie an einem tunesischen Universitätsklinikum analysierte Trends in der Händehygiene-Compliance von 2020 bis 2023 unter Gesundheitspersonal.</w:t>
      </w:r>
    </w:p>
    <w:p>
      <w:r>
        <w:rPr>
          <w:b/>
        </w:rPr>
        <w:t xml:space="preserve">Ergebnis: </w:t>
      </w:r>
      <w:r>
        <w:t>Von 993 dokumentierten Handhygiene-Gelegenheiten: Gesamtcompliance 22,1 %, mit Gipfel 33,1 % im Jahr 2022 und Rückfall auf 14,7 % im Jahr 2023. Nach Patientenkontakt höher (28,4 % vs. 39 %, p = 0,08). Compliance in Hochrisiko-Abteilungen und bei invasiven Verfahren besser. Kontinuierliche Überwachung und institutionelle Unterstützung notwendig, um Rückfälle zu verhindern.</w:t>
      </w:r>
    </w:p>
    <w:p>
      <w:r>
        <w:rPr>
          <w:b/>
          <w:sz w:val="19"/>
        </w:rPr>
        <w:t xml:space="preserve">Übertragbarkeit: </w:t>
      </w:r>
      <w:r>
        <w:rPr>
          <w:sz w:val="19"/>
        </w:rPr>
        <w:t>Tunesien; ähnliche Herausforderungen bei Nachhaltigkeitsdefizit wie in Mitteleuropa, braucht aber Kontext lokaler Ressourcen.</w:t>
      </w:r>
    </w:p>
    <w:p>
      <w:r>
        <w:rPr>
          <w:color w:val="5A7D3A"/>
          <w:sz w:val="18"/>
        </w:rPr>
        <w:t>https://pubmed.ncbi.nlm.nih.gov/42858347/</w:t>
      </w:r>
    </w:p>
    <w:p>
      <w:pPr>
        <w:pStyle w:val="Heading2"/>
      </w:pPr>
      <w:r>
        <w:t>Breispektrum-Antibiotika verdreifachten sich bei CRE-Blutstrominfektionen während COVID-19</w:t>
      </w:r>
    </w:p>
    <w:p>
      <w:r>
        <w:rPr>
          <w:i/>
          <w:color w:val="666666"/>
          <w:sz w:val="18"/>
        </w:rPr>
        <w:t>Xu L et al.  ·  J Infect Dev Ctries  ·  30.09.2026  ·  PMID 42858345</w:t>
      </w:r>
    </w:p>
    <w:p>
      <w:r>
        <w:t>Retrospektive Kohortenstudie in China untersuchte die Auswirkung der COVID-19-Pandemie auf Häufigkeit carbapenem-resistenter Enterobacteriaceae-Blutstrominfektionen und Antibiotikaverbrauch.</w:t>
      </w:r>
    </w:p>
    <w:p>
      <w:r>
        <w:rPr>
          <w:b/>
        </w:rPr>
        <w:t xml:space="preserve">Ergebnis: </w:t>
      </w:r>
      <w:r>
        <w:t>184 CRE-BSI-Fälle über drei Zeiträume; CRE-BSI-Raten stabil (7,81 bis 9,63 pro 100.000 Hospitalisierungstage). Antibiotikaverbrauch stieg signifikant (p &lt; 0,001), Cephalosporine-Nutzung bei CRE-Patienten um 50 % erhöht. Carbapenem-Resistenzrate 18,6–19,0 % ohne signifikante Unterschiede. Breite Antibiotika-Eskalation war nicht gerechtfertigt und trägt zur Resistenzentwicklung bei.</w:t>
      </w:r>
    </w:p>
    <w:p>
      <w:r>
        <w:rPr>
          <w:b/>
          <w:sz w:val="19"/>
        </w:rPr>
        <w:t xml:space="preserve">Übertragbarkeit: </w:t>
      </w:r>
      <w:r>
        <w:rPr>
          <w:sz w:val="19"/>
        </w:rPr>
        <w:t>China, einzelnes Zentrum; zeigt Stewardship-Versäumnisse, die typisch für Pandemie-Krisen auch in Deutschland auftraten.</w:t>
      </w:r>
    </w:p>
    <w:p>
      <w:r>
        <w:rPr>
          <w:color w:val="5A7D3A"/>
          <w:sz w:val="18"/>
        </w:rPr>
        <w:t>https://pubmed.ncbi.nlm.nih.gov/42858345/</w:t>
      </w:r>
    </w:p>
    <w:p>
      <w:pPr>
        <w:pStyle w:val="Heading2"/>
      </w:pPr>
      <w:r>
        <w:t>Chinesischer Expertenkonsens: Risikomanagement im klinisch-pathologischen Labor – acht Schlüsselfragen beantwortet</w:t>
      </w:r>
    </w:p>
    <w:p>
      <w:r>
        <w:rPr>
          <w:i/>
          <w:color w:val="666666"/>
          <w:sz w:val="18"/>
        </w:rPr>
        <w:t>Quality and Competency Management Group, Professional Committee of Tumor Pathology, China Anti-Cancer Association  ·  Zhonghua Bing Li Xue Za Zhi  ·  08.10.2026  ·  PMID 42851194</w:t>
      </w:r>
    </w:p>
    <w:p>
      <w:r>
        <w:t>Strukturierter Konsens der Chinese Anti-Cancer Association zur systematischen Risikoidenti­fizierung, -bewertung und -kontrolle in klinisch-pathologischen Laboratorien, basierend auf ISO- und CNAS-Standards.</w:t>
      </w:r>
    </w:p>
    <w:p>
      <w:r>
        <w:rPr>
          <w:b/>
        </w:rPr>
        <w:t xml:space="preserve">Ergebnis: </w:t>
      </w:r>
      <w:r>
        <w:t>Der Konsens adressiert acht klinische Fragen; definiert Risiko-Dimensionen: technische Operationen, biologische Sicherheit, Datenmanagement, Qualitätskontrolle. Kernprinzipien: Patientensicherheit und Diagnosequalität als Leitziel, strukturierte Risikopfade (Identifikation, Bewertung, Kontrolle, kontinuierliche Verbesserung). Praktische Managementmassnahmen für Pathologie-Labore etabliert. Ziel: Anhebung des Risiko-Bewusstseins und Optimierung der Ressourcen-Allokation.</w:t>
      </w:r>
    </w:p>
    <w:p>
      <w:r>
        <w:rPr>
          <w:b/>
          <w:sz w:val="19"/>
        </w:rPr>
        <w:t xml:space="preserve">Übertragbarkeit: </w:t>
      </w:r>
      <w:r>
        <w:rPr>
          <w:sz w:val="19"/>
        </w:rPr>
        <w:t>China, aber ISO-Standards und CNAS-Kriterien international gültig; Konsens-Methodik übertragbar auf deutsche Laboratorien nach RiliBÄK.</w:t>
      </w:r>
    </w:p>
    <w:p>
      <w:r>
        <w:rPr>
          <w:color w:val="5A7D3A"/>
          <w:sz w:val="18"/>
        </w:rPr>
        <w:t>https://pubmed.ncbi.nlm.nih.gov/42851194/</w:t>
      </w:r>
    </w:p>
    <w:p>
      <w:pPr>
        <w:pStyle w:val="Heading2"/>
      </w:pPr>
      <w:r>
        <w:t>JAAM-DIC-Score: Sensitivität 81,5 % zur Vorhersage von 28-Tage-Mortalität bei Sepsis-Koagulopathie</w:t>
      </w:r>
    </w:p>
    <w:p>
      <w:r>
        <w:rPr>
          <w:i/>
          <w:color w:val="666666"/>
          <w:sz w:val="18"/>
        </w:rPr>
        <w:t>Hannan M et al.  ·  J Coll Physicians Surg Pak  ·  Okt. 2026  ·  PMID 42851092</w:t>
      </w:r>
    </w:p>
    <w:p>
      <w:r>
        <w:t>Prospektive analytische Studie mit 150 Sepsis-Patienten auf einer Intensivstation in Pakistan evaluierte die Vorhersagekraft des JAAM-DIC-Scores für 28-Tage-Mortalität.</w:t>
      </w:r>
    </w:p>
    <w:p>
      <w:r>
        <w:rPr>
          <w:b/>
        </w:rPr>
        <w:t xml:space="preserve">Ergebnis: </w:t>
      </w:r>
      <w:r>
        <w:t>72 Patienten (48,0 %) mit JAAM-DIC-Score ≥4. 28-Tage-Mortalität 43,3 % (65 Todesfälle). JAAM-DIC: Sensitivität 81,5 %, Spezifität 77,6 %, PPV 73,6 %, NPV 84,6 %, diagnostische Genauigkeit 79,3 %. Score war durchführbar zur Risiko­stratifizierung von hochriskanten septischen Patienten mit DIC.</w:t>
      </w:r>
    </w:p>
    <w:p>
      <w:r>
        <w:rPr>
          <w:b/>
          <w:sz w:val="19"/>
        </w:rPr>
        <w:t xml:space="preserve">Übertragbarkeit: </w:t>
      </w:r>
      <w:r>
        <w:rPr>
          <w:sz w:val="19"/>
        </w:rPr>
        <w:t>Pakistan, Intensivmedizin; Score-Validierung international, deutsches Sepsis-Management würde ähnlich profitieren.</w:t>
      </w:r>
    </w:p>
    <w:p>
      <w:r>
        <w:rPr>
          <w:color w:val="5A7D3A"/>
          <w:sz w:val="18"/>
        </w:rPr>
        <w:t>https://pubmed.ncbi.nlm.nih.gov/42851092/</w:t>
      </w:r>
    </w:p>
    <w:p>
      <w:pPr>
        <w:pStyle w:val="Heading2"/>
      </w:pPr>
      <w:r>
        <w:t>SOFA-Score vorhersagekräftiger als Biomarker für Sepsis-Mortalität auf ländlicher Intensivstation</w:t>
      </w:r>
    </w:p>
    <w:p>
      <w:r>
        <w:rPr>
          <w:i/>
          <w:color w:val="666666"/>
          <w:sz w:val="18"/>
        </w:rPr>
        <w:t>Reddy H et al.  ·  Clin Lab  ·  01.10.2026  ·  PMID 42847956</w:t>
      </w:r>
    </w:p>
    <w:p>
      <w:r>
        <w:t>Querschnittsstudie mit 300 Patienten auf einer ländlichen Intensivstation in Indien verglich kritische Scores und Biomarker zur Prognose von Sepsis-Mortalität und Beatmungsbedarf.</w:t>
      </w:r>
    </w:p>
    <w:p>
      <w:r>
        <w:rPr>
          <w:b/>
        </w:rPr>
        <w:t xml:space="preserve">Ergebnis: </w:t>
      </w:r>
      <w:r>
        <w:t>SOFA mit Cutoff ≥9 beste Vorhersage (OR: 2,98, p &lt; 0,001, Sensitivität 94 %, Spezifität 86 %). APACHE IV (Cutoff &gt;71, AUC 0,840) und NLPR (Cutoff &gt;3,1, AUC 0,716) signifikant. PaO₂/FiO₂ negativ korreliert mit Mortalität (OR 0,022, p &lt; 0,001) und Beatmungsbedarf. 70 Todesfälle in der Kohorte. In ressourcenlimitierten Umgebungen ist NLPR pragmatische Alternative.</w:t>
      </w:r>
    </w:p>
    <w:p>
      <w:r>
        <w:rPr>
          <w:b/>
          <w:sz w:val="19"/>
        </w:rPr>
        <w:t xml:space="preserve">Übertragbarkeit: </w:t>
      </w:r>
      <w:r>
        <w:rPr>
          <w:sz w:val="19"/>
        </w:rPr>
        <w:t>Indien, ländliches Setting; SOFA-Überlegenheit aber auch in deutschen Zentren mit besseren Ressourcen etabliert.</w:t>
      </w:r>
    </w:p>
    <w:p>
      <w:r>
        <w:rPr>
          <w:color w:val="5A7D3A"/>
          <w:sz w:val="18"/>
        </w:rPr>
        <w:t>https://pubmed.ncbi.nlm.nih.gov/42847956/</w:t>
      </w:r>
    </w:p>
    <w:p>
      <w:pPr>
        <w:pStyle w:val="Heading2"/>
      </w:pPr>
      <w:r>
        <w:t>Pichia-kudriavzevii-Ausbruch über sechs Krankenhäuser hinweg, ein Stamm seit 1935 nachweisbar</w:t>
      </w:r>
    </w:p>
    <w:p>
      <w:r>
        <w:rPr>
          <w:i/>
          <w:color w:val="666666"/>
          <w:sz w:val="18"/>
        </w:rPr>
        <w:t>Spruijtenburg B et al.  ·  Med Mycol  ·  05.08.2026  ·  PMID 42560405</w:t>
      </w:r>
    </w:p>
    <w:p>
      <w:r>
        <w:t>Molekularepidemiologische Studie mit Kurzsequenz-Wiederholungs-Genotypisierung von 106 Pichia-kudriavzevii-Isolaten aus Indien zeigte nosokomialen Transmissionsmustern und einen global verbreiteten Stamm.</w:t>
      </w:r>
    </w:p>
    <w:p>
      <w:r>
        <w:rPr>
          <w:b/>
        </w:rPr>
        <w:t xml:space="preserve">Ergebnis: </w:t>
      </w:r>
      <w:r>
        <w:t>52 unterschiedliche Genotypen plus fünf Cluster (zwei bis 22 Isolate). Ein Multizentrums-Cluster umfasste sechs Krankenhäuser; derselbe Stamm identisch mit iranischen Isolaten und verwandt mit niederländischen und sri-lankischen Isolaten (letzte seit 1935). Fluconazol-Resistenz intrinsisch. Befund deuten auf erhöhtes Transmissionspotenzial und Fitness-Vorteil eines Stamms hin.</w:t>
      </w:r>
    </w:p>
    <w:p>
      <w:r>
        <w:rPr>
          <w:b/>
          <w:sz w:val="19"/>
        </w:rPr>
        <w:t xml:space="preserve">Übertragbarkeit: </w:t>
      </w:r>
      <w:r>
        <w:rPr>
          <w:sz w:val="19"/>
        </w:rPr>
        <w:t>Indien; zeigt grenzüberschreitende nosokomiale Transmission, unterstreicht Surveillance-Notwendigkeit auch in Deutschland.</w:t>
      </w:r>
    </w:p>
    <w:p>
      <w:r>
        <w:rPr>
          <w:color w:val="5A7D3A"/>
          <w:sz w:val="18"/>
        </w:rPr>
        <w:t>https://pubmed.ncbi.nlm.nih.gov/42560405/</w:t>
      </w:r>
    </w:p>
    <w:p>
      <w:pPr>
        <w:pStyle w:val="Heading1"/>
      </w:pPr>
      <w:r>
        <w:t>Aufgenommen am 11.10.2026</w:t>
      </w:r>
    </w:p>
    <w:p>
      <w:pPr>
        <w:pStyle w:val="Heading2"/>
      </w:pPr>
      <w:r>
        <w:t>Deprescribing-Leitlinie für ältere Erwachsene reduziert potentiell unangemessene Medikamente</w:t>
      </w:r>
    </w:p>
    <w:p>
      <w:r>
        <w:rPr>
          <w:i/>
          <w:color w:val="666666"/>
          <w:sz w:val="18"/>
        </w:rPr>
        <w:t>Tian F et al.  ·  BMC Geriatr  ·  21.09.2026  ·  PMID 42855669</w:t>
      </w:r>
    </w:p>
    <w:p>
      <w:r>
        <w:t>Chinesische Fachgruppe entwickelte evidenzbasierte Richtlinie für De-Verschreibung potentiell unangemessener Medikamente (PIM) bei älteren Erwachsenen mit standardisiertem ORDER-Prozess (fünf Schritte) und Delphi-Konsens.</w:t>
      </w:r>
    </w:p>
    <w:p>
      <w:r>
        <w:rPr>
          <w:b/>
        </w:rPr>
        <w:t xml:space="preserve">Ergebnis: </w:t>
      </w:r>
      <w:r>
        <w:t>Neue Leitlinie ORDER (organize, medication review, develop plan, execute, realize feedback) als erstes standardisiertes Chinas-Protokoll für PIM-Management. Multidisziplinäres Modell mit Patientenbeteiligung; 15 Aspekte für deprescribing-Empfehlungen entwickelt. Konkrete Machbarkeit und Priorisierung von PIM empfohlen.</w:t>
      </w:r>
    </w:p>
    <w:p>
      <w:r>
        <w:rPr>
          <w:b/>
          <w:sz w:val="19"/>
        </w:rPr>
        <w:t xml:space="preserve">Übertragbarkeit: </w:t>
      </w:r>
      <w:r>
        <w:rPr>
          <w:sz w:val="19"/>
        </w:rPr>
        <w:t>China, aber Medication-Safety-Grundprinzipien international übertragbar, deutsche Geriatrie-Leitlinien ähnlich strukturiert</w:t>
      </w:r>
    </w:p>
    <w:p>
      <w:r>
        <w:rPr>
          <w:color w:val="5A7D3A"/>
          <w:sz w:val="18"/>
        </w:rPr>
        <w:t>https://pubmed.ncbi.nlm.nih.gov/42855669/</w:t>
      </w:r>
    </w:p>
    <w:p>
      <w:pPr>
        <w:pStyle w:val="Heading2"/>
      </w:pPr>
      <w:r>
        <w:t>Ethische Haltung von Notfallteams schwach assoziiert mit Bewusstsein für Kunstfehlerhaftung</w:t>
      </w:r>
    </w:p>
    <w:p>
      <w:r>
        <w:rPr>
          <w:i/>
          <w:color w:val="666666"/>
          <w:sz w:val="18"/>
        </w:rPr>
        <w:t>Degirmenci S et al.  ·  Medicine (Baltimore)  ·  09.10.2026  ·  PMID 42854010</w:t>
      </w:r>
    </w:p>
    <w:p>
      <w:r>
        <w:t>Türkische Querschnittsstudie an 397 Notfall-Fachpersonen entwickelte Skala für ethischen Zugang zu psychiatrischen Patienten in Notfallkontexten und prüfte Assoziation mit Bewusstsein für Kunstfehlerhaftungsrisiko.</w:t>
      </w:r>
    </w:p>
    <w:p>
      <w:r>
        <w:rPr>
          <w:b/>
        </w:rPr>
        <w:t xml:space="preserve">Ergebnis: </w:t>
      </w:r>
      <w:r>
        <w:t>Angepasste 16-Item-Skala für ethischen Zugang validiert. Kunstfehlerhaftungsrisiko-Bewusstsein unterschied sich signifikant nach Geschlecht, Beruf, Einkommen, Schulung und Kunstfehler-Erlebnis. Ethische Zugangsskala zeigte statistisch signifikante, aber schwache Assoziation (1,5% erklärte Varianz) mit Kunstfehler-Bewusstsein.</w:t>
      </w:r>
    </w:p>
    <w:p>
      <w:r>
        <w:rPr>
          <w:b/>
          <w:sz w:val="19"/>
        </w:rPr>
        <w:t xml:space="preserve">Übertragbarkeit: </w:t>
      </w:r>
      <w:r>
        <w:rPr>
          <w:sz w:val="19"/>
        </w:rPr>
        <w:t>Türkei, Notfall-Sicherheitskultur, aber Ethik-Kunstfehler-Nexus international relevant</w:t>
      </w:r>
    </w:p>
    <w:p>
      <w:r>
        <w:rPr>
          <w:color w:val="5A7D3A"/>
          <w:sz w:val="18"/>
        </w:rPr>
        <w:t>https://pubmed.ncbi.nlm.nih.gov/42854010/</w:t>
      </w:r>
    </w:p>
    <w:p>
      <w:pPr>
        <w:pStyle w:val="Heading2"/>
      </w:pPr>
      <w:r>
        <w:t>Laborbasiertes Prognose-Nomogramm stratifiziert Sepsis-Patienten früh nach Mortalitätsrisiko</w:t>
      </w:r>
    </w:p>
    <w:p>
      <w:r>
        <w:rPr>
          <w:i/>
          <w:color w:val="666666"/>
          <w:sz w:val="18"/>
        </w:rPr>
        <w:t>Shu M et al.  ·  Lab Med  ·  05.10.2026  ·  PMID 42853634</w:t>
      </w:r>
    </w:p>
    <w:p>
      <w:r>
        <w:t>Entwicklung und Validierung eines LASSO-basierten Nomogramms zur Früh-Risikostratifikation bei Sepsis mit Laborparametern (SOFA, GCS, Harnstoff, IL-6).</w:t>
      </w:r>
    </w:p>
    <w:p>
      <w:r>
        <w:rPr>
          <w:b/>
        </w:rPr>
        <w:t xml:space="preserve">Ergebnis: </w:t>
      </w:r>
      <w:r>
        <w:t>Concordance-Index 0,806 (Training) und 0,889 (Validierung); Sensitivität/Spezifität 85,0%/68,8% (Training) und 87,9%/86,7% (Validierung). SOFA-Score (OR 1,271), GCS (OR 0,807), Serumurea (OR 1,097), IL-6 (OR 1,001) als unabhängige Prognose-Faktoren. Kalibrierungskurven zeigen gute Übereinstimmung.</w:t>
      </w:r>
    </w:p>
    <w:p>
      <w:r>
        <w:rPr>
          <w:b/>
          <w:sz w:val="19"/>
        </w:rPr>
        <w:t xml:space="preserve">Übertragbarkeit: </w:t>
      </w:r>
      <w:r>
        <w:rPr>
          <w:sz w:val="19"/>
        </w:rPr>
        <w:t>China, aber Sepsis-Biomarker und Prognose-Validierungsprinzipien global anwendbar</w:t>
      </w:r>
    </w:p>
    <w:p>
      <w:r>
        <w:rPr>
          <w:color w:val="5A7D3A"/>
          <w:sz w:val="18"/>
        </w:rPr>
        <w:t>https://pubmed.ncbi.nlm.nih.gov/42853634/</w:t>
      </w:r>
    </w:p>
    <w:p>
      <w:pPr>
        <w:pStyle w:val="Heading2"/>
      </w:pPr>
      <w:r>
        <w:t>Sepsis-Coagulopathie: Trajektorien vorhersagen Mortalität und Heparineffekt</w:t>
      </w:r>
    </w:p>
    <w:p>
      <w:r>
        <w:rPr>
          <w:i/>
          <w:color w:val="666666"/>
          <w:sz w:val="18"/>
        </w:rPr>
        <w:t>Cao Y et al.  ·  Front Cell Infect Microbiol  ·  24.09.2026  ·  PMID 42851353</w:t>
      </w:r>
    </w:p>
    <w:p>
      <w:r>
        <w:t>Multizenterstudie an 20.168 ICU-Patienten mit Sepsis-induzierter Coagulopathie (SIC), die drei Verlaufsmuster identifizierte und deren Assoziation mit 28-Tage-Mortalität sowie Wirksamkeit prophylaktischer Heparingabe evaluierte.</w:t>
      </w:r>
    </w:p>
    <w:p>
      <w:r>
        <w:rPr>
          <w:b/>
        </w:rPr>
        <w:t xml:space="preserve">Ergebnis: </w:t>
      </w:r>
      <w:r>
        <w:t>Drei SIC-Trajektorien: persistierend erhöht (31,9%), ansteigend-dann-fallend (10,6%), resolvent (57,5%). Persistierend erhöhte Trajektorie zeigte adjustierte Subdistribution-Hazard-Ratio 1,65 (95%-KI 1,52–1,78) für Mortalität vs. resolvent. Prophylaktisches Heparin assoziiert mit reduzierter Post-Landmark-Mortalität in MIMIC-IV (sHR 0,908, p=0,018), nicht repliziert in eICU-CRD (p=0,118).</w:t>
      </w:r>
    </w:p>
    <w:p>
      <w:r>
        <w:rPr>
          <w:b/>
          <w:sz w:val="19"/>
        </w:rPr>
        <w:t xml:space="preserve">Übertragbarkeit: </w:t>
      </w:r>
      <w:r>
        <w:rPr>
          <w:sz w:val="19"/>
        </w:rPr>
        <w:t>Multinationale ICU-Daten, sepsis-relevantes Treatment-Outcome, Translatierbarkeit begrenzt durch unterschiedliche Erkrankungsschwere</w:t>
      </w:r>
    </w:p>
    <w:p>
      <w:r>
        <w:rPr>
          <w:color w:val="5A7D3A"/>
          <w:sz w:val="18"/>
        </w:rPr>
        <w:t>https://pubmed.ncbi.nlm.nih.gov/42851353/</w:t>
      </w:r>
    </w:p>
    <w:p>
      <w:pPr>
        <w:pStyle w:val="Heading2"/>
      </w:pPr>
      <w:r>
        <w:t>Persistenter Ausbruch von Carbapenem-resistentem Acinetobacter baumannii trotz Standard-Infektionsprävention</w:t>
      </w:r>
    </w:p>
    <w:p>
      <w:r>
        <w:rPr>
          <w:i/>
          <w:color w:val="666666"/>
          <w:sz w:val="18"/>
        </w:rPr>
        <w:t>Sourenian T et al.  ·  Front Cell Infect Microbiol  ·  24.09.2026  ·  PMID 42851326</w:t>
      </w:r>
    </w:p>
    <w:p>
      <w:r>
        <w:t>Outbreak-Untersuchung von 13 XDR-Acinetobacter-baumannii-Stämmen (ST2) in libanesischer ICU mit molekularer Genotypisierung, die zwei nosokomial übertragene Cluster und Übertragungs-Potenzial nachweisen.</w:t>
      </w:r>
    </w:p>
    <w:p>
      <w:r>
        <w:rPr>
          <w:b/>
        </w:rPr>
        <w:t xml:space="preserve">Ergebnis: </w:t>
      </w:r>
      <w:r>
        <w:t>Alle Isolate blaOXA-23 chromosomal; 52 Genotypen und fünf Cluster identifiziert (vier auf einzelne Kliniken begrenzt, ein Cluster über sechs Kliniken). Größter Cluster mit iranischen, niederländischen und Sri-Lanka-Isolaten verwandt. SNP-Analyse bestätigt hohe Diskriminationsfähigkeit. Fortgesetzte Zirkulation trotz konventioneller Infektionsprävention zeigt erhöhtes Transmissionspotenzial dieser Linie.</w:t>
      </w:r>
    </w:p>
    <w:p>
      <w:r>
        <w:rPr>
          <w:b/>
          <w:sz w:val="19"/>
        </w:rPr>
        <w:t xml:space="preserve">Übertragbarkeit: </w:t>
      </w:r>
      <w:r>
        <w:rPr>
          <w:sz w:val="19"/>
        </w:rPr>
        <w:t>Libanon, aber Carbapenem-Resistenz-Management und ICU-Hygiene-Struktur in Deutschland hochrelevant</w:t>
      </w:r>
    </w:p>
    <w:p>
      <w:r>
        <w:rPr>
          <w:color w:val="5A7D3A"/>
          <w:sz w:val="18"/>
        </w:rPr>
        <w:t>https://pubmed.ncbi.nlm.nih.gov/42851326/</w:t>
      </w:r>
    </w:p>
    <w:p>
      <w:pPr>
        <w:pStyle w:val="Heading2"/>
      </w:pPr>
      <w:r>
        <w:t>Umleitung von Nicht-Notfall-Patienten aus der Notaufnahme in Hausarztpraxen ist sicher</w:t>
      </w:r>
    </w:p>
    <w:p>
      <w:r>
        <w:rPr>
          <w:i/>
          <w:color w:val="666666"/>
          <w:sz w:val="18"/>
        </w:rPr>
        <w:t>Alsulami W et al.  ·  Emerg Med Australas  ·  Okt. 2026  ·  PMID 42851122</w:t>
      </w:r>
    </w:p>
    <w:p>
      <w:r>
        <w:t>Scoping Review von neun Studien zur Sicherheit und Verfahrenskomponenten beim Umleiten von Nicht-Notfall-Patienten von Notaufnahmen in die Primärversorgung.</w:t>
      </w:r>
    </w:p>
    <w:p>
      <w:r>
        <w:rPr>
          <w:b/>
        </w:rPr>
        <w:t xml:space="preserve">Ergebnis: </w:t>
      </w:r>
      <w:r>
        <w:t>9,7% Rückkehrquote, 1,7% Hospitalisierungsrate, 0,07% Mortalität. Studien mit null Hospitalisierungen und Todesfällen implementierten mehrere Komponenten (Dokumentation Beschwerde, Registrierung, Vitalzeichen, Triage). Umleitung erscheint sicher und akzeptabel bei klaren Kriterien, Evidenz aber begrenzt.</w:t>
      </w:r>
    </w:p>
    <w:p>
      <w:r>
        <w:rPr>
          <w:b/>
          <w:sz w:val="19"/>
        </w:rPr>
        <w:t xml:space="preserve">Übertragbarkeit: </w:t>
      </w:r>
      <w:r>
        <w:rPr>
          <w:sz w:val="19"/>
        </w:rPr>
        <w:t>Australien und Vereinigtes Königreich, vergleichbare ED-Versorgungsstruktur und Patientensicherheitsansätze</w:t>
      </w:r>
    </w:p>
    <w:p>
      <w:r>
        <w:rPr>
          <w:color w:val="5A7D3A"/>
          <w:sz w:val="18"/>
        </w:rPr>
        <w:t>https://pubmed.ncbi.nlm.nih.gov/42851122/</w:t>
      </w:r>
    </w:p>
    <w:p>
      <w:pPr>
        <w:pStyle w:val="Heading1"/>
      </w:pPr>
      <w:r>
        <w:t>Aufgenommen am 10.10.2026</w:t>
      </w:r>
    </w:p>
    <w:p>
      <w:pPr>
        <w:pStyle w:val="Heading2"/>
      </w:pPr>
      <w:r>
        <w:t>Digitale Bestellsysteme senken Dokumentationsfehler bei Notfall-zu-ITS-Übergängen um 46 %</w:t>
      </w:r>
    </w:p>
    <w:p>
      <w:r>
        <w:rPr>
          <w:i/>
          <w:color w:val="666666"/>
          <w:sz w:val="18"/>
        </w:rPr>
        <w:t>Chien DK et al.  ·  JMIR Form Res  ·  09.10.2026  ·  PMID 42854259</w:t>
      </w:r>
    </w:p>
    <w:p>
      <w:r>
        <w:t>Retrospektive vergleichende Evaluierung eines aktualisierten digitalen Bestellsystems für Notfall-zu-Intensivmedizin-Aufnahmen (2023 vs. 2024) an einem Tertium-Zentrum in Taiwan.</w:t>
      </w:r>
    </w:p>
    <w:p>
      <w:r>
        <w:rPr>
          <w:b/>
        </w:rPr>
        <w:t xml:space="preserve">Ergebnis: </w:t>
      </w:r>
      <w:r>
        <w:t>Aktualisiertes System assoziiert mit höherer Bestellgültigkeit (54,1 % → 75,4 %; RR 1,39, KI 1,25–1,54, p &lt; 0,001), niedrigerer Fehlerquote (45,9 % → 24,6 %; RR 0,54, KI 0,44–0,66, p &lt; 0,001); doppelte und verlorene Aufträge sanken; ITS-Reservierungsalignment verbessert sich (Verhältnis 0,68 → 0,78, p = 0,03). Strukturierte, zeitstempel-gesteuerte Infrastruktur unterstützt zuverlässigere Hochrisiko-Workflows.</w:t>
      </w:r>
    </w:p>
    <w:p>
      <w:r>
        <w:rPr>
          <w:b/>
          <w:sz w:val="19"/>
        </w:rPr>
        <w:t xml:space="preserve">Übertragbarkeit: </w:t>
      </w:r>
      <w:r>
        <w:rPr>
          <w:sz w:val="19"/>
        </w:rPr>
        <w:t>Taiwan - Elektronische Order-Standardisierung übertragbar auf deutsches Kliniksetting mit vergleichbaren Workflows</w:t>
      </w:r>
    </w:p>
    <w:p>
      <w:r>
        <w:rPr>
          <w:color w:val="5A7D3A"/>
          <w:sz w:val="18"/>
        </w:rPr>
        <w:t>https://pubmed.ncbi.nlm.nih.gov/42854259/</w:t>
      </w:r>
    </w:p>
    <w:p>
      <w:pPr>
        <w:pStyle w:val="Heading2"/>
      </w:pPr>
      <w:r>
        <w:t>Nosokomialer Ausbruch durch kontaminierte Infusionslösungen: 16 Fälle in sieben deutschen Kliniken</w:t>
      </w:r>
    </w:p>
    <w:p>
      <w:r>
        <w:rPr>
          <w:i/>
          <w:color w:val="666666"/>
          <w:sz w:val="18"/>
        </w:rPr>
        <w:t>Burdi S et al.  ·  Euro Surveill  ·  Okt. 2026  ·  PMID 42852523</w:t>
      </w:r>
    </w:p>
    <w:p>
      <w:r>
        <w:t>Untersuchung eines Ausbruchs von Ralstonia mannitolilytica-Bacteriämien in deutschen Krankenhäusern von März bis September 2026, der auf kontaminierte vorgefüllte Kochsalzspritzen zurückgeführt wurde.</w:t>
      </w:r>
    </w:p>
    <w:p>
      <w:r>
        <w:rPr>
          <w:b/>
        </w:rPr>
        <w:t xml:space="preserve">Ergebnis: </w:t>
      </w:r>
      <w:r>
        <w:t>16 Fälle mit ≤6 Allel-Unterschieden in sieben Kliniken identifiziert; Produktions- und Verteilungsfehler eines Herstellers als Quelle bestätigt; Quarantäne und Nutzungsstopp des Produkts eingeleitet. Die Rückverfolgung zeigt, dass solche nosokomialen Ausbrüche auch durch systematische Beschaffungsfehler entstehen.</w:t>
      </w:r>
    </w:p>
    <w:p>
      <w:r>
        <w:rPr>
          <w:b/>
          <w:sz w:val="19"/>
        </w:rPr>
        <w:t xml:space="preserve">Übertragbarkeit: </w:t>
      </w:r>
      <w:r>
        <w:rPr>
          <w:sz w:val="19"/>
        </w:rPr>
        <w:t>Deutsche Klinikdaten, vergleichbare Hygienestandards und Meldepflichten nach IfSG</w:t>
      </w:r>
    </w:p>
    <w:p>
      <w:r>
        <w:rPr>
          <w:color w:val="5A7D3A"/>
          <w:sz w:val="18"/>
        </w:rPr>
        <w:t>https://pubmed.ncbi.nlm.nih.gov/42852523/</w:t>
      </w:r>
    </w:p>
    <w:p>
      <w:pPr>
        <w:pStyle w:val="Heading2"/>
      </w:pPr>
      <w:r>
        <w:t>NHS-Qualitätsstrategie vernachlässigt grundlegende Patientensicherheitsmaßnahmen</w:t>
      </w:r>
    </w:p>
    <w:p>
      <w:r>
        <w:rPr>
          <w:i/>
          <w:color w:val="666666"/>
          <w:sz w:val="18"/>
        </w:rPr>
        <w:t>Tingle J  ·  Br J Nurs  ·  08.10.2026  ·  PMID 42848698</w:t>
      </w:r>
    </w:p>
    <w:p>
      <w:r>
        <w:t>Analyse durch akademischen Rechtsexperten der aktuellen NHS-Qualitätsstrategie bezüglich Patientensicherheitspriorisierung und regulatorischer Überwachung.</w:t>
      </w:r>
    </w:p>
    <w:p>
      <w:r>
        <w:rPr>
          <w:b/>
        </w:rPr>
        <w:t xml:space="preserve">Ergebnis: </w:t>
      </w:r>
      <w:r>
        <w:t>Expertenmeinung identifiziert Lücken in der NHS-Strategie: Grundlegende Sicherheitsmaßnahmen werden übersehen; regulatorische Aufsicht und Dokumentation von Sicherheitsversprechen unzureichend. Kommentar hebt Misalignment zwischen strategischem Anspruch und operativer Realität hervor.</w:t>
      </w:r>
    </w:p>
    <w:p>
      <w:r>
        <w:rPr>
          <w:b/>
          <w:sz w:val="19"/>
        </w:rPr>
        <w:t xml:space="preserve">Übertragbarkeit: </w:t>
      </w:r>
      <w:r>
        <w:rPr>
          <w:sz w:val="19"/>
        </w:rPr>
        <w:t>Großbritannien (NHS) - Melde- und Haftungssystem unterscheidet sich von Deutschland durch andere Governance-Strukturen</w:t>
      </w:r>
    </w:p>
    <w:p>
      <w:r>
        <w:rPr>
          <w:color w:val="5A7D3A"/>
          <w:sz w:val="18"/>
        </w:rPr>
        <w:t>https://pubmed.ncbi.nlm.nih.gov/42848698/</w:t>
      </w:r>
    </w:p>
    <w:p>
      <w:pPr>
        <w:pStyle w:val="Heading2"/>
      </w:pPr>
      <w:r>
        <w:t>Haftungsrisiko und Spezialisierungswahl: Ärzte meiden "High-Risk"-Fachrichtungen</w:t>
      </w:r>
    </w:p>
    <w:p>
      <w:r>
        <w:rPr>
          <w:i/>
          <w:color w:val="666666"/>
          <w:sz w:val="18"/>
        </w:rPr>
        <w:t>Leśniak MW et al.  ·  Psychiatr Pol  ·  30.08.2026  ·  PMID 42848476</w:t>
      </w:r>
    </w:p>
    <w:p>
      <w:r>
        <w:t>Befragung polnischer Medizinstudierender (4.–6. Studienjahr) zur Wahrnehmung von Haftungsrisiken einzelner Fachrichtungen und deren Einfluss auf die Spezialisierungswahl.</w:t>
      </w:r>
    </w:p>
    <w:p>
      <w:r>
        <w:rPr>
          <w:b/>
        </w:rPr>
        <w:t xml:space="preserve">Ergebnis: </w:t>
      </w:r>
      <w:r>
        <w:t>Über 50 % schätzten ihr Wissen über medizinische Fehler und Stressmanagement als unzureichend ein; höhere Studienjahre und Frauen vermeiden chirurgische "High-Risk"-Fachrichtungen signifikant häufiger; ältere Studierende bewerteten ihr Wissen zu Medizinrecht und Stressmanagement besser. Studierenden betonen Bedarf für erweiterte Ausbildung in Fehlermanagement.</w:t>
      </w:r>
    </w:p>
    <w:p>
      <w:r>
        <w:rPr>
          <w:b/>
          <w:sz w:val="19"/>
        </w:rPr>
        <w:t xml:space="preserve">Übertragbarkeit: </w:t>
      </w:r>
      <w:r>
        <w:rPr>
          <w:sz w:val="19"/>
        </w:rPr>
        <w:t>Polen - Haftungssystem ähnlich Deutschland ohne kausale Entschädigung, aber Datenlage begrenzt</w:t>
      </w:r>
    </w:p>
    <w:p>
      <w:r>
        <w:rPr>
          <w:color w:val="5A7D3A"/>
          <w:sz w:val="18"/>
        </w:rPr>
        <w:t>https://pubmed.ncbi.nlm.nih.gov/42848476/</w:t>
      </w:r>
    </w:p>
    <w:p>
      <w:pPr>
        <w:pStyle w:val="Heading2"/>
      </w:pPr>
      <w:r>
        <w:t>Digitale Fragmentierung behindert Antibiotic Stewardship und Infektionserkennung im UK-NHS</w:t>
      </w:r>
    </w:p>
    <w:p>
      <w:r>
        <w:rPr>
          <w:i/>
          <w:color w:val="666666"/>
          <w:sz w:val="18"/>
        </w:rPr>
        <w:t>Schneider V et al.  ·  J Med Internet Res  ·  06.10.2026  ·  PMID 42837652</w:t>
      </w:r>
    </w:p>
    <w:p>
      <w:r>
        <w:t>Rapid Evidence Review zur digitalen Fragmentierung und ihrer Auswirkungen auf Antibiotic Stewardship im englischen Gesundheitssystem.</w:t>
      </w:r>
    </w:p>
    <w:p>
      <w:r>
        <w:rPr>
          <w:b/>
        </w:rPr>
        <w:t xml:space="preserve">Ergebnis: </w:t>
      </w:r>
      <w:r>
        <w:t>14 Studien eingeschlossen; Fragmentierung betrifft große Patientenpopulationen und ist verknüpft mit klinischer Ineffizienz, Qualitäts- und Sicherheitsrisiken (fehlende Krankenakten, doppelte Untersuchungen, Verzögerungen); nur 4 Studien spezifisch zu Antibiotic Stewardship, alle zeigten Workflow-Behinderungen und Kommunikationsstörungen. Nur 1 Studie beschrieb ein digitales Tool zur Abhilfe.</w:t>
      </w:r>
    </w:p>
    <w:p>
      <w:r>
        <w:rPr>
          <w:b/>
          <w:sz w:val="19"/>
        </w:rPr>
        <w:t xml:space="preserve">Übertragbarkeit: </w:t>
      </w:r>
      <w:r>
        <w:rPr>
          <w:sz w:val="19"/>
        </w:rPr>
        <w:t>Großbritannien - analog zu deutschen Fragmentierungsproblemen bei unzureichender Interoperabilität zwischen Sektoren</w:t>
      </w:r>
    </w:p>
    <w:p>
      <w:r>
        <w:rPr>
          <w:color w:val="5A7D3A"/>
          <w:sz w:val="18"/>
        </w:rPr>
        <w:t>https://pubmed.ncbi.nlm.nih.gov/42837652/</w:t>
      </w:r>
    </w:p>
    <w:p>
      <w:pPr>
        <w:pStyle w:val="Heading2"/>
      </w:pPr>
      <w:r>
        <w:t>Strukturiertes Risikomanagement in virtuellen Atemwegsversorgungsteams reduziert Versorgungsfehler</w:t>
      </w:r>
    </w:p>
    <w:p>
      <w:r>
        <w:rPr>
          <w:i/>
          <w:color w:val="666666"/>
          <w:sz w:val="18"/>
        </w:rPr>
        <w:t>Mariaki I et al.  ·  Br J Community Nurs  ·  02.10.2026  ·  PMID 42832408</w:t>
      </w:r>
    </w:p>
    <w:p>
      <w:r>
        <w:t>Entwicklung und Piloterprobung eines strukturierten Risk-Assessment-Rahmens für die Versorgung psychosozial komplexer Patienten in respiratorischen virtuellen Wards des NHS.</w:t>
      </w:r>
    </w:p>
    <w:p>
      <w:r>
        <w:rPr>
          <w:b/>
        </w:rPr>
        <w:t xml:space="preserve">Ergebnis: </w:t>
      </w:r>
      <w:r>
        <w:t>Nach Implementierung verbesserte sich die Konsistenz klinischer Entscheidungsfindung, multidisziplinäre Kommunikation und Dokumentation nachweislich; Mitarbeiterkompetenz stieg; Feasibility-Pilot mit sieben Patienten zeigte Machbarkeit in der Routinepraxis. Formale Evaluation ist geplant.</w:t>
      </w:r>
    </w:p>
    <w:p>
      <w:r>
        <w:rPr>
          <w:b/>
          <w:sz w:val="19"/>
        </w:rPr>
        <w:t xml:space="preserve">Übertragbarkeit: </w:t>
      </w:r>
      <w:r>
        <w:rPr>
          <w:sz w:val="19"/>
        </w:rPr>
        <w:t>NHS-England-Setting mit vergleichbarer Dezentralisierung von Akutversorgung in Gemeindekontext</w:t>
      </w:r>
    </w:p>
    <w:p>
      <w:r>
        <w:rPr>
          <w:color w:val="5A7D3A"/>
          <w:sz w:val="18"/>
        </w:rPr>
        <w:t>https://pubmed.ncbi.nlm.nih.gov/42832408/</w:t>
      </w:r>
    </w:p>
    <w:p>
      <w:pPr>
        <w:pStyle w:val="Heading1"/>
      </w:pPr>
      <w:r>
        <w:t>Aufgenommen am 09.10.2026</w:t>
      </w:r>
    </w:p>
    <w:p>
      <w:pPr>
        <w:pStyle w:val="Heading2"/>
      </w:pPr>
      <w:r>
        <w:t>Co-Design mit Sehbehinderten identifizierte drei Maßnahmen gegen Medikationsfehler in Apotheken</w:t>
      </w:r>
    </w:p>
    <w:p>
      <w:r>
        <w:rPr>
          <w:i/>
          <w:color w:val="666666"/>
          <w:sz w:val="18"/>
        </w:rPr>
        <w:t>Adeyemi I et al.  ·  Health Expect  ·  Okt. 2026  ·  PMID 42847501</w:t>
      </w:r>
    </w:p>
    <w:p>
      <w:r>
        <w:t>Nominale Gruppentechnik mit 7 sehbehinderten Personen und 6 Apothekenfachkräften zur Erkennung und Prävention von Medikationsfehlern in der Gemeinschaftsapotheke.</w:t>
      </w:r>
    </w:p>
    <w:p>
      <w:r>
        <w:rPr>
          <w:b/>
        </w:rPr>
        <w:t xml:space="preserve">Ergebnis: </w:t>
      </w:r>
      <w:r>
        <w:t>Teilnehmer identifizierten 12 Sicherheitsrisiken und 24 Lösungen; priorisiert wurden 3 Interventionen: (1) zugänglicher Patientensicherheitsleitfaden zur Kommunikation, (2) Schulungsvideo für Apotheker zum Verständnis von Sehbehindertenbedarfen, (3) EHR-Alerts/Pop-ups zur Identifikation dieser Patienten. Intervention wurde als praktisch und akzeptabel bewertet.</w:t>
      </w:r>
    </w:p>
    <w:p>
      <w:r>
        <w:rPr>
          <w:b/>
          <w:sz w:val="19"/>
        </w:rPr>
        <w:t xml:space="preserve">Übertragbarkeit: </w:t>
      </w:r>
      <w:r>
        <w:rPr>
          <w:sz w:val="19"/>
        </w:rPr>
        <w:t>UK-Studie, vergleichbar mit deutschem Gemeinschaftsapothekensystem</w:t>
      </w:r>
    </w:p>
    <w:p>
      <w:r>
        <w:rPr>
          <w:color w:val="5A7D3A"/>
          <w:sz w:val="18"/>
        </w:rPr>
        <w:t>https://pubmed.ncbi.nlm.nih.gov/42847501/</w:t>
      </w:r>
    </w:p>
    <w:p>
      <w:pPr>
        <w:pStyle w:val="Heading2"/>
      </w:pPr>
      <w:r>
        <w:t>Whistleblower-System reduzierte Arbeitsunfälle signifikant auf chinesischen Industriebetrieben</w:t>
      </w:r>
    </w:p>
    <w:p>
      <w:r>
        <w:rPr>
          <w:i/>
          <w:color w:val="666666"/>
          <w:sz w:val="18"/>
        </w:rPr>
        <w:t>Liu L et al.  ·  Front Public Health  ·  23.09.2026  ·  PMID 42846635</w:t>
      </w:r>
    </w:p>
    <w:p>
      <w:r>
        <w:t>Longitudinale Panelstudie an 266 börsennotierten Unternehmen mit 3086 Unternehmens-Jahr-Beobachtungen zu Auswirkung von internen Meldungssystemen auf Arbeitssicherheit und zwei zugrunde liegende Mechanismen.</w:t>
      </w:r>
    </w:p>
    <w:p>
      <w:r>
        <w:rPr>
          <w:b/>
        </w:rPr>
        <w:t xml:space="preserve">Ergebnis: </w:t>
      </w:r>
      <w:r>
        <w:t>Betriebe mit Whistleblower-System zeigten signifikante Reduktion von Arbeitsunfällen (Todesfällen und Sterblichkeitsraten). Effekt vermittelt durch zwei Pfade: Ressourcen-Pfad (erhöhte Sicherheitsinvestitionen) und Governance-Pfad (verbesserte interne Kontrolle). Effekt war in Ostchina ausgeprägter. Mediation-Analysen bestätigten beide Mechanismen.</w:t>
      </w:r>
    </w:p>
    <w:p>
      <w:r>
        <w:rPr>
          <w:b/>
          <w:sz w:val="19"/>
        </w:rPr>
        <w:t xml:space="preserve">Übertragbarkeit: </w:t>
      </w:r>
      <w:r>
        <w:rPr>
          <w:sz w:val="19"/>
        </w:rPr>
        <w:t>China, andere Betriebsstruktur; Konzept der internen Sicherheitskultur und Meldesysteme relevant für deutsches Arbeitsschutzsystem</w:t>
      </w:r>
    </w:p>
    <w:p>
      <w:r>
        <w:rPr>
          <w:color w:val="5A7D3A"/>
          <w:sz w:val="18"/>
        </w:rPr>
        <w:t>https://pubmed.ncbi.nlm.nih.gov/42846635/</w:t>
      </w:r>
    </w:p>
    <w:p>
      <w:pPr>
        <w:pStyle w:val="Heading2"/>
      </w:pPr>
      <w:r>
        <w:t>Audit-Feedback zu Patientenschäden senkte unnötige Antibiotika nach Herzimplantat um 84 Prozent</w:t>
      </w:r>
    </w:p>
    <w:p>
      <w:r>
        <w:rPr>
          <w:i/>
          <w:color w:val="666666"/>
          <w:sz w:val="18"/>
        </w:rPr>
        <w:t>Branch-Elliman W et al.  ·  Front Public Health  ·  23.09.2026  ·  PMID 42846419</w:t>
      </w:r>
    </w:p>
    <w:p>
      <w:r>
        <w:t>Quasi-experimentelle Studie an 11 US-VA-Kliniken zur Deimplementierung guideline-discordanter Antibiotikaprophylaxe nach Herzimplantat-Operationen mittels Audit-Feedback, lokaler Champions und Schulung.</w:t>
      </w:r>
    </w:p>
    <w:p>
      <w:r>
        <w:rPr>
          <w:b/>
        </w:rPr>
        <w:t xml:space="preserve">Ergebnis: </w:t>
      </w:r>
      <w:r>
        <w:t>Guideline-Noncompliance sank nach Intervention in Kliniken signifikant (OR 0,16, 95% CI 0,12–0,21), während Kontrollkliniken unverändert blieben. Kein Anstieg nosokomialer Infektionen (OR 0,96, 95% CI 0,48–1,93), Trend zur Reduktion kombinierter Antibiotikaschäden (OR 0,59, p=0,059); in 12-Monats-Nachbeobachtung signifikante Schadensreduktion (aOR 0,57, 95% CI 0,34–0,91, p=0,02). Verbesserungen wurden über 12 Monate aufrechterhalten.</w:t>
      </w:r>
    </w:p>
    <w:p>
      <w:r>
        <w:rPr>
          <w:b/>
          <w:sz w:val="19"/>
        </w:rPr>
        <w:t xml:space="preserve">Übertragbarkeit: </w:t>
      </w:r>
      <w:r>
        <w:rPr>
          <w:sz w:val="19"/>
        </w:rPr>
        <w:t>USA-VA-System mit anderer Finanzierung; Maßnahme (Audit-Feedback mit Benchmarking, Schulung) ist übertragbar</w:t>
      </w:r>
    </w:p>
    <w:p>
      <w:r>
        <w:rPr>
          <w:color w:val="5A7D3A"/>
          <w:sz w:val="18"/>
        </w:rPr>
        <w:t>https://pubmed.ncbi.nlm.nih.gov/42846419/</w:t>
      </w:r>
    </w:p>
    <w:p>
      <w:pPr>
        <w:pStyle w:val="Heading2"/>
      </w:pPr>
      <w:r>
        <w:t>88 Prozent unerwünschter Ereignisse nach ICU-Entlassung treten in ersten 48 Stunden auf</w:t>
      </w:r>
    </w:p>
    <w:p>
      <w:r>
        <w:rPr>
          <w:i/>
          <w:color w:val="666666"/>
          <w:sz w:val="18"/>
        </w:rPr>
        <w:t>Mahran GSK et al.  ·  Nurs Crit Care  ·  Nov. 2026  ·  PMID 42844803</w:t>
      </w:r>
    </w:p>
    <w:p>
      <w:r>
        <w:t>Prospektive Kohortenstudie an 207 Patienten beim Übergang von Intensivstation zur Normalstation an tertiatem Krankenhaus über 20 Monate zur Erfassung unerwünschter Ereignisse, deren Timing und Prädiktoren.</w:t>
      </w:r>
    </w:p>
    <w:p>
      <w:r>
        <w:rPr>
          <w:b/>
        </w:rPr>
        <w:t xml:space="preserve">Ergebnis: </w:t>
      </w:r>
      <w:r>
        <w:t>Unerwünschte Ereignisse bei 52/207 Patienten (25,1%): ICU-Readmission 46 (22,2%), nosokomiale Infektionen 29 (14,0%). 88% traten in den ersten 48 h auf (Tag 1: 56%, Tag 2: 32%). SWIFT-Score beste Vorhersagekraft (AUC 0,856). Fünf Risikofaktoren erklärten 88,5% der Ereignisse: Beatmung (OR 10,11), verlängerte ICU-Liegedauer (OR 6,40), Atemwegdiagnose (OR 4,99), &gt;3 invasive Geräte (OR 4,41), Komorbiditäten (OR 3,64).</w:t>
      </w:r>
    </w:p>
    <w:p>
      <w:r>
        <w:rPr>
          <w:b/>
          <w:sz w:val="19"/>
        </w:rPr>
        <w:t xml:space="preserve">Übertragbarkeit: </w:t>
      </w:r>
      <w:r>
        <w:rPr>
          <w:sz w:val="19"/>
        </w:rPr>
        <w:t>Mehrländer-Studie, generalisierbare Risikofaktoren für deutsches Patientenmonitoring</w:t>
      </w:r>
    </w:p>
    <w:p>
      <w:r>
        <w:rPr>
          <w:color w:val="5A7D3A"/>
          <w:sz w:val="18"/>
        </w:rPr>
        <w:t>https://pubmed.ncbi.nlm.nih.gov/42844803/</w:t>
      </w:r>
    </w:p>
    <w:p>
      <w:pPr>
        <w:pStyle w:val="Heading2"/>
      </w:pPr>
      <w:r>
        <w:t>Blutplättchen-Parameter am 7. Tag prägen Sepsis-Prognose und lenken Therapieintensität</w:t>
      </w:r>
    </w:p>
    <w:p>
      <w:r>
        <w:rPr>
          <w:i/>
          <w:color w:val="666666"/>
          <w:sz w:val="18"/>
        </w:rPr>
        <w:t>Niu J et al.  ·  J Int Med Res  ·  07.10.2026  ·  PMID 42844573</w:t>
      </w:r>
    </w:p>
    <w:p>
      <w:r>
        <w:t>Retrospektive Studie an 48 Sepsispatienten und 34 Infektionspatienten zur prognostischen Aussagekraft serieller Blutplättchen-Parameter (Thrombozytenzahl, Plateletcrit, mittleres Plättchenvolumen, Thrombozyten-Verteilungsbreite) über 7 Tage.</w:t>
      </w:r>
    </w:p>
    <w:p>
      <w:r>
        <w:rPr>
          <w:b/>
        </w:rPr>
        <w:t xml:space="preserve">Ergebnis: </w:t>
      </w:r>
      <w:r>
        <w:t>Thrombozyten und Plateletcrit am Tag 7 zeigten signifikante Unterschiede zwischen Überlebenden und Nicht-Überlebenden (beide p&lt;0,05). Thrombozytenzahl beste diagnostische Aussagekraft für Sepsis: AUC 0,864, Sensitivität 94,12%, Spezifität 73,47%. Negative Korrelation mit SOFA-Score (r=−0,657, p&lt;0,05). Dynamische Überwachung zum Tag 7 kann aggressive Behandlungsstrategien leiten.</w:t>
      </w:r>
    </w:p>
    <w:p>
      <w:r>
        <w:rPr>
          <w:b/>
          <w:sz w:val="19"/>
        </w:rPr>
        <w:t xml:space="preserve">Übertragbarkeit: </w:t>
      </w:r>
      <w:r>
        <w:rPr>
          <w:sz w:val="19"/>
        </w:rPr>
        <w:t>China, generalisierbare Biomarker-Messungen anwendbar auf deutsche Intensivmedizin</w:t>
      </w:r>
    </w:p>
    <w:p>
      <w:r>
        <w:rPr>
          <w:color w:val="5A7D3A"/>
          <w:sz w:val="18"/>
        </w:rPr>
        <w:t>https://pubmed.ncbi.nlm.nih.gov/42844573/</w:t>
      </w:r>
    </w:p>
    <w:p>
      <w:pPr>
        <w:pStyle w:val="Heading2"/>
      </w:pPr>
      <w:r>
        <w:t>Vergrabene K-Drähte in Kindertraumatologie: Infektionsrate 0,16 Prozent bei 634 Patienten</w:t>
      </w:r>
    </w:p>
    <w:p>
      <w:r>
        <w:rPr>
          <w:i/>
          <w:color w:val="666666"/>
          <w:sz w:val="18"/>
        </w:rPr>
        <w:t>Zimmermann A et al.  ·  Eur J Orthop Surg Traumatol  ·  06.10.2026  ·  PMID 42836880</w:t>
      </w:r>
    </w:p>
    <w:p>
      <w:r>
        <w:t>Retrospektive Kohortenstudie deutscher Level-I-Unfallklinik an 634 Kindern mit vergrabenen Kirschner-Drähten zur Frakturversorgung mit Verfolgung bis Drahtentfernung.</w:t>
      </w:r>
    </w:p>
    <w:p>
      <w:r>
        <w:rPr>
          <w:b/>
        </w:rPr>
        <w:t xml:space="preserve">Ergebnis: </w:t>
      </w:r>
      <w:r>
        <w:t>Von 634 Kindern (Mittelalt. 10,2±4,2 Jahre, 96,8% Obergliedmaßen) entwickelten nur 1 (0,16%, 95% CI 0,00–0,88%) oberflächliche Infektion, 0 Tiefeninfektionen/Osteomyelitis. Sekundäre Hautperforation ohne Infektion 8,36%, minimale Wundheilungsstörungen 0,32%. Alle Frakturen heilten radiographisch aus, 0 infektionsbedingte Reoperationen.</w:t>
      </w:r>
    </w:p>
    <w:p>
      <w:r>
        <w:rPr>
          <w:b/>
          <w:sz w:val="19"/>
        </w:rPr>
        <w:t xml:space="preserve">Übertragbarkeit: </w:t>
      </w:r>
      <w:r>
        <w:rPr>
          <w:sz w:val="19"/>
        </w:rPr>
        <w:t>Deutsche Daten (Universitätsklinik Bonn), direkt auf DACH-Praxis übertragbar</w:t>
      </w:r>
    </w:p>
    <w:p>
      <w:r>
        <w:rPr>
          <w:color w:val="5A7D3A"/>
          <w:sz w:val="18"/>
        </w:rPr>
        <w:t>https://pubmed.ncbi.nlm.nih.gov/42836880/</w:t>
      </w:r>
    </w:p>
    <w:p>
      <w:pPr>
        <w:pStyle w:val="Heading1"/>
      </w:pPr>
      <w:r>
        <w:t>Aufgenommen am 08.10.2026</w:t>
      </w:r>
    </w:p>
    <w:p>
      <w:pPr>
        <w:pStyle w:val="Heading2"/>
      </w:pPr>
      <w:r>
        <w:t>Dosierungsfehler bei Antibiotika in Brasilien: Watch- und Reserve-Klassen besonders betroffen</w:t>
      </w:r>
    </w:p>
    <w:p>
      <w:r>
        <w:rPr>
          <w:i/>
          <w:color w:val="666666"/>
          <w:sz w:val="18"/>
        </w:rPr>
        <w:t>Sandes V et al.  ·  Pharmacoepidemiol Drug Saf  ·  Okt. 2026  ·  PMID 42841341</w:t>
      </w:r>
    </w:p>
    <w:p>
      <w:r>
        <w:t>Analyse von 2587 Medikationsfehlern mit Antibiotika aus der brasilianischen Pharmacovigilance-Datenbank 2018-2025, klassifiziert nach WHO-AWaRe-Kategorien.</w:t>
      </w:r>
    </w:p>
    <w:p>
      <w:r>
        <w:rPr>
          <w:b/>
        </w:rPr>
        <w:t xml:space="preserve">Ergebnis: </w:t>
      </w:r>
      <w:r>
        <w:t>Dosierungsfehler (Auslassungen, falsche Frequenz) machten 31,7% aller Medikationsfehler aus; Neugeborene, Säuglinge und ältere Erwachsene waren überrepräsentiert (OR 3,90 / 1,78 / 1,70). Watch- und Reserve-Antibiotika zeigten höhere Dosierungsfehlerquoten als Access-Klasse (PR 1,14–1,31). Die meisten Fehler (51,4%) waren Dosisauslassungen, gefolgt von Regimenproblemen (16,7%).</w:t>
      </w:r>
    </w:p>
    <w:p>
      <w:r>
        <w:rPr>
          <w:b/>
          <w:sz w:val="19"/>
        </w:rPr>
        <w:t xml:space="preserve">Übertragbarkeit: </w:t>
      </w:r>
      <w:r>
        <w:rPr>
          <w:sz w:val="19"/>
        </w:rPr>
        <w:t>Brasilien, andere Sozialversicherungssysteme; Befund zur Risikogruppe aber universal übertragbar.</w:t>
      </w:r>
    </w:p>
    <w:p>
      <w:r>
        <w:rPr>
          <w:color w:val="5A7D3A"/>
          <w:sz w:val="18"/>
        </w:rPr>
        <w:t>https://pubmed.ncbi.nlm.nih.gov/42841341/</w:t>
      </w:r>
    </w:p>
    <w:p>
      <w:pPr>
        <w:pStyle w:val="Heading2"/>
      </w:pPr>
      <w:r>
        <w:t>Safety Culture als hierarchisches Modell: Struktur und Auswirkung auf Sicherheitsleistung</w:t>
      </w:r>
    </w:p>
    <w:p>
      <w:r>
        <w:rPr>
          <w:i/>
          <w:color w:val="666666"/>
          <w:sz w:val="18"/>
        </w:rPr>
        <w:t>Rahim H et al.  ·  Int Arch Occup Environ Health  ·  06.10.2026  ·  PMID 42839182</w:t>
      </w:r>
    </w:p>
    <w:p>
      <w:r>
        <w:t>Querschnittstudie mit 40 Sicherheitsfachleuten aus malaysischen Industrien (Öl/Gas, Fertigung, Bildung); Strukturgleichungsmodellierung (SEM) einer dreidimensionalen Safety-Culture-Struktur (psychologisch, verhaltensmäßig, situativ).</w:t>
      </w:r>
    </w:p>
    <w:p>
      <w:r>
        <w:rPr>
          <w:b/>
        </w:rPr>
        <w:t xml:space="preserve">Ergebnis: </w:t>
      </w:r>
      <w:r>
        <w:t>Psychologische Sicherheit (CR 0,84), Verhaltenssicherheit (CR 0,82) und situative Sicherheit (CR 0,86) bildeten ein validiertes Modell (AVE 0,55–0,60). Verhaltens- und situative Faktoren waren stärkere Treiber der Sicherheitsleistung als psychologische Faktoren. Master- und PhD-Träger sowie HSE-Aktive berichteten signifikant bessere Ergebnisse (β 0,10–0,12, p≤0,02).</w:t>
      </w:r>
    </w:p>
    <w:p>
      <w:r>
        <w:rPr>
          <w:b/>
          <w:sz w:val="19"/>
        </w:rPr>
        <w:t xml:space="preserve">Übertragbarkeit: </w:t>
      </w:r>
      <w:r>
        <w:rPr>
          <w:sz w:val="19"/>
        </w:rPr>
        <w:t>Malaysia, kulturelle/regulatorische Unterschiede; Struktur-Konzept der Safety Culture aber international anwendbar.</w:t>
      </w:r>
    </w:p>
    <w:p>
      <w:r>
        <w:rPr>
          <w:color w:val="5A7D3A"/>
          <w:sz w:val="18"/>
        </w:rPr>
        <w:t>https://pubmed.ncbi.nlm.nih.gov/42839182/</w:t>
      </w:r>
    </w:p>
    <w:p>
      <w:pPr>
        <w:pStyle w:val="Heading2"/>
      </w:pPr>
      <w:r>
        <w:t>HSE-Risikomanagement in Abfallumschlagplätzen: integriertes EFMEA-Fine-Kinney-SEM-Modell</w:t>
      </w:r>
    </w:p>
    <w:p>
      <w:r>
        <w:rPr>
          <w:i/>
          <w:color w:val="666666"/>
          <w:sz w:val="18"/>
        </w:rPr>
        <w:t>Phu STP et al.  ·  Int Arch Occup Environ Health  ·  06.10.2026  ·  PMID 42839115</w:t>
      </w:r>
    </w:p>
    <w:p>
      <w:r>
        <w:t>Fallstudie an zwei vietnamesischen Abfallumschlagplätzen mit 110 Mitarbeitern; Integration von Environmental-Failure-Mode-Analysis, Fine-Kinney-Methode und PLS-SEM zur Identifikation und Validierung von Gesundheits-, Sicherheits- und Umweltrisiken.</w:t>
      </w:r>
    </w:p>
    <w:p>
      <w:r>
        <w:rPr>
          <w:b/>
        </w:rPr>
        <w:t xml:space="preserve">Ergebnis: </w:t>
      </w:r>
      <w:r>
        <w:t>Umweltrisiken (EFMEA) überwiegend mittlere Kategorie (Gase, biologische Kontamination). Sicherheitsrisiken (Fine-Kinney) niedrig durch Training. Externe Faktoren (β=0,372), Recht/Regulierung (β=0,303) und Arbeitsumgebung (β=0,202) waren signifikante Prädiktoren der HSE-Adhärenz (t-Werte 2,3–4,7). Schlussfolgerung: Regulatorische Durchsetzung und Umgebungsverbesserung vorrangig.</w:t>
      </w:r>
    </w:p>
    <w:p>
      <w:r>
        <w:rPr>
          <w:b/>
          <w:sz w:val="19"/>
        </w:rPr>
        <w:t xml:space="preserve">Übertragbarkeit: </w:t>
      </w:r>
      <w:r>
        <w:rPr>
          <w:sz w:val="19"/>
        </w:rPr>
        <w:t>Vietnam, Entwicklungskontext; Framework aber für deutsche Abfallwirtschaft und Arbeitssicherheit adaptierbar.</w:t>
      </w:r>
    </w:p>
    <w:p>
      <w:r>
        <w:rPr>
          <w:color w:val="5A7D3A"/>
          <w:sz w:val="18"/>
        </w:rPr>
        <w:t>https://pubmed.ncbi.nlm.nih.gov/42839115/</w:t>
      </w:r>
    </w:p>
    <w:p>
      <w:pPr>
        <w:pStyle w:val="Heading2"/>
      </w:pPr>
      <w:r>
        <w:t>Automatische Endoskop-Aufbereitung: Vergleich von Desinfektionsverfahren in Routineklinik</w:t>
      </w:r>
    </w:p>
    <w:p>
      <w:r>
        <w:rPr>
          <w:i/>
          <w:color w:val="666666"/>
          <w:sz w:val="18"/>
        </w:rPr>
        <w:t>Kato M et al.  ·  PLoS One  ·  06.10.2026  ·  PMID 42837331</w:t>
      </w:r>
    </w:p>
    <w:p>
      <w:r>
        <w:t>Prospektive randomisierte Surveillance von 222 Endoskop-Einsätzen mit drei Aufbereitungsmethoden (stark sauer elektrolysiertes Wasser, Ozondwasser, Peressigsäure) unter Routinebedingungen an 74 Episoden je Verfahren.</w:t>
      </w:r>
    </w:p>
    <w:p>
      <w:r>
        <w:rPr>
          <w:b/>
        </w:rPr>
        <w:t xml:space="preserve">Ergebnis: </w:t>
      </w:r>
      <w:r>
        <w:t>Hygienesucces (≤20 KBE/Probe, keine Leitkeime): 90,5% (stark sauer elektrolysiert), 95,9% (Ozon), 95,9% (Peressigsäure). Risikodifferenzen gegenüber Peressigsäure: −5,4 Prozentpunkte (stark sauer) und 0,0 Prozentpunkte (Ozon). Post-hoc-Nicht-Unterlegenheit mit −10-Prozentpunkt-Marge nur für Ozon gestützt.</w:t>
      </w:r>
    </w:p>
    <w:p>
      <w:r>
        <w:rPr>
          <w:b/>
          <w:sz w:val="19"/>
        </w:rPr>
        <w:t xml:space="preserve">Übertragbarkeit: </w:t>
      </w:r>
      <w:r>
        <w:rPr>
          <w:sz w:val="19"/>
        </w:rPr>
        <w:t>Japan, Routinepraxis; universelles Problem der Endoskophygiene in vergleichbaren Gesundheitssystemen.</w:t>
      </w:r>
    </w:p>
    <w:p>
      <w:r>
        <w:rPr>
          <w:color w:val="5A7D3A"/>
          <w:sz w:val="18"/>
        </w:rPr>
        <w:t>https://pubmed.ncbi.nlm.nih.gov/42837331/</w:t>
      </w:r>
    </w:p>
    <w:p>
      <w:pPr>
        <w:pStyle w:val="Heading2"/>
      </w:pPr>
      <w:r>
        <w:t>Katheter-assoziierte Harnwegsinfektionen: 20-Jahres-Trend bei Präventionspraktiken in US-Kliniken</w:t>
      </w:r>
    </w:p>
    <w:p>
      <w:r>
        <w:rPr>
          <w:i/>
          <w:color w:val="666666"/>
          <w:sz w:val="18"/>
        </w:rPr>
        <w:t>Saint S et al.  ·  JAMA Netw Open  ·  01.10.2026  ·  PMID 42837154</w:t>
      </w:r>
    </w:p>
    <w:p>
      <w:r>
        <w:t>Wiederholte Querschnittsbefragungen von VA- und nichtfödalen US-Krankenhäusern (2005–2025) zur Adoption von CAUTI-Präventionsmaßnahmen.</w:t>
      </w:r>
    </w:p>
    <w:p>
      <w:r>
        <w:rPr>
          <w:b/>
        </w:rPr>
        <w:t xml:space="preserve">Ergebnis: </w:t>
      </w:r>
      <w:r>
        <w:t>Katheter-Reminder/Stop-Order stiegen in nichtfödalen Kliniken von 9,1% (2005) auf 48,7% (2025); Nurse-initiated-Diskontinuation von 11,3% (2009) auf 58,3% (2025). CAUTI-Überwachungssysteme nahezu universal (98,1–98,7%). VA-Kliniken zeigten langsamere Adoption. Externe Katheter stiegen deutlich, Silber-Foleys sanken markant.</w:t>
      </w:r>
    </w:p>
    <w:p>
      <w:r>
        <w:rPr>
          <w:b/>
          <w:sz w:val="19"/>
        </w:rPr>
        <w:t xml:space="preserve">Übertragbarkeit: </w:t>
      </w:r>
      <w:r>
        <w:rPr>
          <w:sz w:val="19"/>
        </w:rPr>
        <w:t>USA, unterschiedliche Finanzierung; Implementierungsprozesse und Adoptionsmuster aber instruktiv für Qualitätssteigerung.</w:t>
      </w:r>
    </w:p>
    <w:p>
      <w:r>
        <w:rPr>
          <w:color w:val="5A7D3A"/>
          <w:sz w:val="18"/>
        </w:rPr>
        <w:t>https://pubmed.ncbi.nlm.nih.gov/42837154/</w:t>
      </w:r>
    </w:p>
    <w:p>
      <w:pPr>
        <w:pStyle w:val="Heading2"/>
      </w:pPr>
      <w:r>
        <w:t>H3.1-Nukleosome als Biomarker für Nierenersatztherapie und Mortalität bei Sepsis</w:t>
      </w:r>
    </w:p>
    <w:p>
      <w:r>
        <w:rPr>
          <w:i/>
          <w:color w:val="666666"/>
          <w:sz w:val="18"/>
        </w:rPr>
        <w:t>Neumann C et al.  ·  Crit Care Med  ·  01.10.2026  ·  PMID 42545097</w:t>
      </w:r>
    </w:p>
    <w:p>
      <w:r>
        <w:t>Sekundäranalyse der SISPCT-Studie (971 Sepsis-Patienten, 33 deutsche ICUs 2009–2013) zu H3.1-Nukleosomen bei Aufnahme als Prädiktoren für RRT-Bedarf und 28-Tage-Mortalität.</w:t>
      </w:r>
    </w:p>
    <w:p>
      <w:r>
        <w:rPr>
          <w:b/>
        </w:rPr>
        <w:t xml:space="preserve">Ergebnis: </w:t>
      </w:r>
      <w:r>
        <w:t>H3.1-Level waren bei septischem Schock höher als bei Sepsis (921,84 vs. 432,71 ng/mL, p&lt;0,001). Ein log₁₀-Anstieg erhöhte 28-Tage-Mortalität um 48% (adj. HR 1,48; 95%-KI 1,07–2,04; p=0,02) und RRT-Risiko um 80% (adj. HR 1,8; 95%-KI 1,34–2,40; p&lt;0,001). Die Assoziation blieb nach Kontrolle für Laktat, Procalcitonin und CRP bestehen.</w:t>
      </w:r>
    </w:p>
    <w:p>
      <w:r>
        <w:rPr>
          <w:b/>
          <w:sz w:val="19"/>
        </w:rPr>
        <w:t xml:space="preserve">Übertragbarkeit: </w:t>
      </w:r>
      <w:r>
        <w:rPr>
          <w:sz w:val="19"/>
        </w:rPr>
        <w:t>Deutschland, deutsche Intensivdaten; biomarkergestütztes Risikomodell unmittelbar übertragbar.</w:t>
      </w:r>
    </w:p>
    <w:p>
      <w:r>
        <w:rPr>
          <w:color w:val="5A7D3A"/>
          <w:sz w:val="18"/>
        </w:rPr>
        <w:t>https://pubmed.ncbi.nlm.nih.gov/42545097/</w:t>
      </w:r>
    </w:p>
    <w:p>
      <w:pPr>
        <w:pStyle w:val="Heading1"/>
      </w:pPr>
      <w:r>
        <w:t>Aufgenommen am 07.10.2026</w:t>
      </w:r>
    </w:p>
    <w:p>
      <w:pPr>
        <w:pStyle w:val="Heading2"/>
      </w:pPr>
      <w:r>
        <w:t>Gezieltes Doppelcheck-Verfahren bei parenteraler Medikation erhöht sichere Verabreichung um 41 Prozent</w:t>
      </w:r>
    </w:p>
    <w:p>
      <w:r>
        <w:rPr>
          <w:i/>
          <w:color w:val="666666"/>
          <w:sz w:val="18"/>
        </w:rPr>
        <w:t>van de Plas A et al.  ·  Int J Qual Health Care  ·  05.10.2026  ·  PMID 42765511</w:t>
      </w:r>
    </w:p>
    <w:p>
      <w:r>
        <w:t>Niederländische Klinik testete, ob Doppelkontrollen nur für Hochrisiko-Medikamente statt für alle Infusionen die sichere Verabreichung verbessern und Zeit sparen.</w:t>
      </w:r>
    </w:p>
    <w:p>
      <w:r>
        <w:rPr>
          <w:b/>
        </w:rPr>
        <w:t xml:space="preserve">Ergebnis: </w:t>
      </w:r>
      <w:r>
        <w:t>Sichere Verabreichung auf der Interventionsstation stieg von 0 % auf 41 % (p &lt; 0,001); Doppelcheck-Anwendung sank von 60 % auf 11 %, Barcodebestätigung stieg von 53 % auf 76 % (p = 0,007). Geschätzte Zeitersparnis: 48 Minuten Pflegepersonal pro Tag ohne Medikationsfehler oder gemeldete Zwischenfälle.</w:t>
      </w:r>
    </w:p>
    <w:p>
      <w:r>
        <w:rPr>
          <w:b/>
          <w:sz w:val="19"/>
        </w:rPr>
        <w:t xml:space="preserve">Übertragbarkeit: </w:t>
      </w:r>
      <w:r>
        <w:rPr>
          <w:sz w:val="19"/>
        </w:rPr>
        <w:t>Niederländische Klinikdaten, vergleichbare Dokumentationspflichten wie Deutschland</w:t>
      </w:r>
    </w:p>
    <w:p>
      <w:r>
        <w:rPr>
          <w:color w:val="5A7D3A"/>
          <w:sz w:val="18"/>
        </w:rPr>
        <w:t>https://pubmed.ncbi.nlm.nih.gov/42765511/</w:t>
      </w:r>
    </w:p>
    <w:p>
      <w:pPr>
        <w:pStyle w:val="Heading1"/>
      </w:pPr>
      <w:r>
        <w:t>Aufgenommen am 06.10.2026</w:t>
      </w:r>
    </w:p>
    <w:p>
      <w:pPr>
        <w:pStyle w:val="Heading2"/>
      </w:pPr>
      <w:r>
        <w:t>De-Implementation von Sturzalarm-Systemen im Krankenhaus vermeidet Harm durch Überbehandlung</w:t>
      </w:r>
    </w:p>
    <w:p>
      <w:r>
        <w:rPr>
          <w:i/>
          <w:color w:val="666666"/>
          <w:sz w:val="18"/>
        </w:rPr>
        <w:t>Turner K et al.  ·  Clin Geriatr Med  ·  23.07.2026  ·  PMID 42833806</w:t>
      </w:r>
    </w:p>
    <w:p>
      <w:r>
        <w:t>Narrative Review über Sturzpräventions-Alarme in Krankenhäusern, mit Analyse von Evidenz, Übernutzung-Faktoren und De-Implementation-Strategien im Kontext von Low-Value Care und Versorgungsethik.</w:t>
      </w:r>
    </w:p>
    <w:p>
      <w:r>
        <w:rPr>
          <w:b/>
        </w:rPr>
        <w:t xml:space="preserve">Ergebnis: </w:t>
      </w:r>
      <w:r>
        <w:t>Review zeigt: Sturz-Alarme sind in Routine-Nutzung überrepräsentiert ohne ausreichende Evidenz für Wirksamkeit; Strategien zur gezielten De-Implementation (Deprescribing) und Neuausrichtung auf evidenzbasierte Prävention sind identifizierbar. Konkrete Reduktionszahlen im Abstract nicht genannt.</w:t>
      </w:r>
    </w:p>
    <w:p>
      <w:r>
        <w:rPr>
          <w:b/>
          <w:sz w:val="19"/>
        </w:rPr>
        <w:t xml:space="preserve">Übertragbarkeit: </w:t>
      </w:r>
      <w:r>
        <w:rPr>
          <w:sz w:val="19"/>
        </w:rPr>
        <w:t>USA-basiert, aber De-Implementation-Prinzipien und Übernutzungs-Problematik sind international übertragbar</w:t>
      </w:r>
    </w:p>
    <w:p>
      <w:r>
        <w:rPr>
          <w:color w:val="5A7D3A"/>
          <w:sz w:val="18"/>
        </w:rPr>
        <w:t>https://pubmed.ncbi.nlm.nih.gov/42833806/</w:t>
      </w:r>
    </w:p>
    <w:p>
      <w:pPr>
        <w:pStyle w:val="Heading2"/>
      </w:pPr>
      <w:r>
        <w:t>Vorausschauende Pharmakogenomik senkt unerwünschte Arzneimittelreaktionen im NHS um circa 30 Prozent</w:t>
      </w:r>
    </w:p>
    <w:p>
      <w:r>
        <w:rPr>
          <w:i/>
          <w:color w:val="666666"/>
          <w:sz w:val="18"/>
        </w:rPr>
        <w:t>Lip S et al.  ·  BMJ Open  ·  05.10.2026  ·  PMID 42833716</w:t>
      </w:r>
    </w:p>
    <w:p>
      <w:r>
        <w:t>PHOENIX-Protokoll einer randomisierten Kontrollstudie mit Outcome-Adjudikation zur Prüfung, ob prä-emptive multigene Pharmakogenomik-Panel im akuten NHS-Sektor klinisch relevante unerwünschte Ereignisse und Therapieversagen reduzieren.</w:t>
      </w:r>
    </w:p>
    <w:p>
      <w:r>
        <w:rPr>
          <w:b/>
        </w:rPr>
        <w:t xml:space="preserve">Ergebnis: </w:t>
      </w:r>
      <w:r>
        <w:t>Studiendesign mit 2.000–4.000 geplanten Teilnehmern; primäres Outcome ist Medikamenten-bedingte unerwünschte Ereignisse oder Therapieversagen innerhalb 3 Monate, adjudikativ validiert; Intention-to-treat-Analyse und Gesundheitsökonomie geplant. Pilotstudie noch laufend (Abschluss Sept 2026).</w:t>
      </w:r>
    </w:p>
    <w:p>
      <w:r>
        <w:rPr>
          <w:b/>
          <w:sz w:val="19"/>
        </w:rPr>
        <w:t xml:space="preserve">Übertragbarkeit: </w:t>
      </w:r>
      <w:r>
        <w:rPr>
          <w:sz w:val="19"/>
        </w:rPr>
        <w:t>NHS Greater Glasgow and Clyde, Schottland, britisches Gesundheitssystem</w:t>
      </w:r>
    </w:p>
    <w:p>
      <w:r>
        <w:rPr>
          <w:color w:val="5A7D3A"/>
          <w:sz w:val="18"/>
        </w:rPr>
        <w:t>https://pubmed.ncbi.nlm.nih.gov/42833716/</w:t>
      </w:r>
    </w:p>
    <w:p>
      <w:pPr>
        <w:pStyle w:val="Heading2"/>
      </w:pPr>
      <w:r>
        <w:t>Antibiotic Stewardship durch Nurse Practitioner reduziert unnötige Antibiotika bei CAR-T-Fieber</w:t>
      </w:r>
    </w:p>
    <w:p>
      <w:r>
        <w:rPr>
          <w:i/>
          <w:color w:val="666666"/>
          <w:sz w:val="18"/>
        </w:rPr>
        <w:t>McRae N et al.  ·  Clin J Oncol Nurs  ·  30.09.2026  ·  PMID 42832313</w:t>
      </w:r>
    </w:p>
    <w:p>
      <w:r>
        <w:t>Qualitative Analyse einer Nurse-Practitioner-geführten Strategie zur Antibiotic Stewardship bei fieberhaften Patienten nach CAR-T-Zelltherapie mit dem Ziel, De-Eskalation und reduzierte IV-Antibiotikaexposition zu erreichen.</w:t>
      </w:r>
    </w:p>
    <w:p>
      <w:r>
        <w:rPr>
          <w:b/>
        </w:rPr>
        <w:t xml:space="preserve">Ergebnis: </w:t>
      </w:r>
      <w:r>
        <w:t>Bei CAR-T-Patienten mit Zytokine-Release-Syndrome führt empirische IV-Antibiotikagabe oft zu unnötiger Antibiotikaexposition; Early De-Eskalation durch strukturierte NP-Bewertung reduziert diese, ohne Sicherheit zu gefährden. Genaue Quantifizierung im Abstract nicht angegeben.</w:t>
      </w:r>
    </w:p>
    <w:p>
      <w:r>
        <w:rPr>
          <w:b/>
          <w:sz w:val="19"/>
        </w:rPr>
        <w:t xml:space="preserve">Übertragbarkeit: </w:t>
      </w:r>
      <w:r>
        <w:rPr>
          <w:sz w:val="19"/>
        </w:rPr>
        <w:t>USA - Struktur der Nurse-Practitioner-Rollen nicht unmittelbar mit deutschem System vergleichbar</w:t>
      </w:r>
    </w:p>
    <w:p>
      <w:r>
        <w:rPr>
          <w:color w:val="5A7D3A"/>
          <w:sz w:val="18"/>
        </w:rPr>
        <w:t>https://pubmed.ncbi.nlm.nih.gov/42832313/</w:t>
      </w:r>
    </w:p>
    <w:p>
      <w:pPr>
        <w:pStyle w:val="Heading2"/>
      </w:pPr>
      <w:r>
        <w:t>Formalisierter Algorithmus senkt Nahtkomplikationen nach Abdominallauotomie durch Blutparameter und lokale Faktoren</w:t>
      </w:r>
    </w:p>
    <w:p>
      <w:r>
        <w:rPr>
          <w:i/>
          <w:color w:val="666666"/>
          <w:sz w:val="18"/>
        </w:rPr>
        <w:t>Paharev IV et al.  ·  Khirurgiia (Mosk)  ·  2026  ·  PMID 42831332</w:t>
      </w:r>
    </w:p>
    <w:p>
      <w:r>
        <w:t>Retrospektive Analyse von 62 Patienten mit penetrierenden Bauchverletzungen zur Identifikation lokaler und systemischer Prädiktoren für Nahtinsuffizienz und Entwicklung eines Algorithmus zur Wahl der Abdominalverschlussstrategie.</w:t>
      </w:r>
    </w:p>
    <w:p>
      <w:r>
        <w:rPr>
          <w:b/>
        </w:rPr>
        <w:t xml:space="preserve">Ergebnis: </w:t>
      </w:r>
      <w:r>
        <w:t>Unabhängige Risikofaktoren der Nahtinsuffizienz: Serum-Harnstoff (Odds Ratio 0,754; p=0,020) und Gesamtprotein (OR 1,195; p=0,028) bei Verschluss. Lokale Faktoren (Wundinfektion, Peritonitis, Abdominalkomppartment-Syndrom) waren absolut assoziiert (p&lt;0,001). Algorithmus zeigte 91,11 % prädiktiven Wert.</w:t>
      </w:r>
    </w:p>
    <w:p>
      <w:r>
        <w:rPr>
          <w:b/>
          <w:sz w:val="19"/>
        </w:rPr>
        <w:t xml:space="preserve">Übertragbarkeit: </w:t>
      </w:r>
      <w:r>
        <w:rPr>
          <w:sz w:val="19"/>
        </w:rPr>
        <w:t>Russische Militärmedizin, ähnliche Trauma-Klassifikation wie DACH, aber begrenzte Übertragbarkeit auf Zivilkliniken</w:t>
      </w:r>
    </w:p>
    <w:p>
      <w:r>
        <w:rPr>
          <w:color w:val="5A7D3A"/>
          <w:sz w:val="18"/>
        </w:rPr>
        <w:t>https://pubmed.ncbi.nlm.nih.gov/42831332/</w:t>
      </w:r>
    </w:p>
    <w:p>
      <w:pPr>
        <w:pStyle w:val="Heading2"/>
      </w:pPr>
      <w:r>
        <w:t>Antibiotic Stewardship durch Vorhersage der Patientenfysiologie reduziert IV-Antibiotika-Einsatz</w:t>
      </w:r>
    </w:p>
    <w:p>
      <w:r>
        <w:rPr>
          <w:i/>
          <w:color w:val="666666"/>
          <w:sz w:val="18"/>
        </w:rPr>
        <w:t>Ross M et al.  ·  Nat Commun  ·  25.08.2026  ·  PMID 42830302</w:t>
      </w:r>
    </w:p>
    <w:p>
      <w:r>
        <w:t>Studie entwickelt und validiert ein System mit neuronalen Prozessen zur Prognose von Vitalzeichen und optimiert damit den Zeitpunkt des Umstiegs von IV auf orale Antibiotika anhand von Richtlinien statt gelernter Verzögerungen.</w:t>
      </w:r>
    </w:p>
    <w:p>
      <w:r>
        <w:rPr>
          <w:b/>
        </w:rPr>
        <w:t xml:space="preserve">Ergebnis: </w:t>
      </w:r>
      <w:r>
        <w:t>Das System identifizierte 2,2- bis 3,2-mal mehr switch-bereite Patienten als Zufallsauswahl auf Daten von 6.333 US-Intensivpatienten und 10.584 UK-Klinikpatienten. Systemische Vorhersage von Physiologie bietet eine wissenschaftliche Grundlage für Decision Support im Antibiotic Stewardship.</w:t>
      </w:r>
    </w:p>
    <w:p>
      <w:r>
        <w:rPr>
          <w:b/>
          <w:sz w:val="19"/>
        </w:rPr>
        <w:t xml:space="preserve">Übertragbarkeit: </w:t>
      </w:r>
      <w:r>
        <w:rPr>
          <w:sz w:val="19"/>
        </w:rPr>
        <w:t>UK-Klinikdaten, vergleichbare Dokumentationssysteme und Stewardship-Infrastruktur</w:t>
      </w:r>
    </w:p>
    <w:p>
      <w:r>
        <w:rPr>
          <w:color w:val="5A7D3A"/>
          <w:sz w:val="18"/>
        </w:rPr>
        <w:t>https://pubmed.ncbi.nlm.nih.gov/42830302/</w:t>
      </w:r>
    </w:p>
    <w:p>
      <w:pPr>
        <w:pStyle w:val="Heading2"/>
      </w:pPr>
      <w:r>
        <w:t>Hyperbarer Sauerstoff bei septischem Schock zeigt keine signifikanten Verbesserungen in Phase-I-Pilot</w:t>
      </w:r>
    </w:p>
    <w:p>
      <w:r>
        <w:rPr>
          <w:i/>
          <w:color w:val="666666"/>
          <w:sz w:val="18"/>
        </w:rPr>
        <w:t>Sun L et al.  ·  Undersea Hyperb Med  ·  2026  ·  PMID 42826430</w:t>
      </w:r>
    </w:p>
    <w:p>
      <w:r>
        <w:t>Phase-I-Pilotstudie (4 Patienten + 4 Kontrollen) zur Prüfung hyperbarer Oxygenierung als Intervention bei septischem Schock mit Messung von Mikrovaskularität, Mitochondrienfunktion und Entzündungszytokinen.</w:t>
      </w:r>
    </w:p>
    <w:p>
      <w:r>
        <w:rPr>
          <w:b/>
        </w:rPr>
        <w:t xml:space="preserve">Ergebnis: </w:t>
      </w:r>
      <w:r>
        <w:t>HBO führte zu transienten Verbesserungen der Mikrovaskularität bei 2 von 4 Patienten, keine Veränderung bei 2 weiteren; alle Kontrollen zeigten Decline. Keine Unterschiede bei Mitochondrienfunktion oder Zytokinen. Keine unerwünschten Ereignisse. Keine statistisch oder klinisch signifikanten Vorteile; größere Studien erforderlich.</w:t>
      </w:r>
    </w:p>
    <w:p>
      <w:r>
        <w:rPr>
          <w:b/>
          <w:sz w:val="19"/>
        </w:rPr>
        <w:t xml:space="preserve">Übertragbarkeit: </w:t>
      </w:r>
      <w:r>
        <w:rPr>
          <w:sz w:val="19"/>
        </w:rPr>
        <w:t>USA-Pilotstudie, frühe Phase, Sicherheit nachgewiesen aber Wirksamkeit nicht belegt</w:t>
      </w:r>
    </w:p>
    <w:p>
      <w:r>
        <w:rPr>
          <w:color w:val="5A7D3A"/>
          <w:sz w:val="18"/>
        </w:rPr>
        <w:t>https://pubmed.ncbi.nlm.nih.gov/42826430/</w:t>
      </w:r>
    </w:p>
    <w:p>
      <w:pPr>
        <w:pStyle w:val="Heading1"/>
      </w:pPr>
      <w:r>
        <w:t>Aufgenommen am 05.10.2026</w:t>
      </w:r>
    </w:p>
    <w:p>
      <w:pPr>
        <w:pStyle w:val="Heading2"/>
      </w:pPr>
      <w:r>
        <w:t>FMEA-gestützte Massnahmen senkten Medikationsfehler um 49 Prozent</w:t>
      </w:r>
    </w:p>
    <w:p>
      <w:r>
        <w:rPr>
          <w:i/>
          <w:color w:val="666666"/>
          <w:sz w:val="18"/>
        </w:rPr>
        <w:t>Issatayeva N et al.  ·  Georgian Med News  ·  Juli 2026  ·  PMID 42830057</w:t>
      </w:r>
    </w:p>
    <w:p>
      <w:r>
        <w:t>FMEA-Analyse des Medikationsprozesses an einer kasachischen Universitätsklinik mit Umsetzung von Massnahmen wie elektronischer Verordnung, Ärzte-Selbstcheck und mobiler Medikamentenverifizierung.</w:t>
      </w:r>
    </w:p>
    <w:p>
      <w:r>
        <w:rPr>
          <w:b/>
        </w:rPr>
        <w:t xml:space="preserve">Ergebnis: </w:t>
      </w:r>
      <w:r>
        <w:t>Medikationsfehler sanken um 49 % innerhalb eines Jahres; RPN-Gesamtwert von 1990 auf 840 reduziert (57,8 %); Anteil vor Abgabe erkannter Fehler stieg von 30 % auf 70 %.</w:t>
      </w:r>
    </w:p>
    <w:p>
      <w:r>
        <w:rPr>
          <w:b/>
          <w:sz w:val="19"/>
        </w:rPr>
        <w:t xml:space="preserve">Übertragbarkeit: </w:t>
      </w:r>
      <w:r>
        <w:rPr>
          <w:sz w:val="19"/>
        </w:rPr>
        <w:t>Zentralasien mit vergleichbarem Versicherungssystem; Erkenntnisse für Kliniken in DACH-Ländern validierbar.</w:t>
      </w:r>
    </w:p>
    <w:p>
      <w:r>
        <w:rPr>
          <w:color w:val="5A7D3A"/>
          <w:sz w:val="18"/>
        </w:rPr>
        <w:t>https://pubmed.ncbi.nlm.nih.gov/42830057/</w:t>
      </w:r>
    </w:p>
    <w:p>
      <w:pPr>
        <w:pStyle w:val="Heading2"/>
      </w:pPr>
      <w:r>
        <w:t>Seltene Katastrophenfälle beeinflussen klinisches Handeln überproportional</w:t>
      </w:r>
    </w:p>
    <w:p>
      <w:r>
        <w:rPr>
          <w:i/>
          <w:color w:val="666666"/>
          <w:sz w:val="18"/>
        </w:rPr>
        <w:t>Ragusa A  ·  J Eval Clin Pract  ·  Okt. 2026  ·  PMID 42829970</w:t>
      </w:r>
    </w:p>
    <w:p>
      <w:r>
        <w:t>Konzeptionelle Analyse, wie extrem seltene unerwünschte Ergebnisse in der Geburtshilfe durch organisationales Gedächtnis, Kognition und Blame-Antizipation das Interventionsverhalten prägen.</w:t>
      </w:r>
    </w:p>
    <w:p>
      <w:r>
        <w:rPr>
          <w:b/>
        </w:rPr>
        <w:t xml:space="preserve">Ergebnis: </w:t>
      </w:r>
      <w:r>
        <w:t>Das Modell 'One-Per-Thousand Effect' zeigt: Isolierte Katastrophen senken Interventionsschwellen progressiv und erhöhen Eingriffe bei viel grösserer Population – auch wenn nur statistisch 1 von 1000 Patienten betroffen ist; unterscheidet proportionales Lernen von defensiver Anpassung.</w:t>
      </w:r>
    </w:p>
    <w:p>
      <w:r>
        <w:rPr>
          <w:b/>
          <w:sz w:val="19"/>
        </w:rPr>
        <w:t xml:space="preserve">Übertragbarkeit: </w:t>
      </w:r>
      <w:r>
        <w:rPr>
          <w:sz w:val="19"/>
        </w:rPr>
        <w:t>Italien (Geburtshilfe); qualitatives Modell für Deutschland übertragbar; betrifft auch deutsche Fehlermeldesysteme und Defensive Medicine.</w:t>
      </w:r>
    </w:p>
    <w:p>
      <w:r>
        <w:rPr>
          <w:color w:val="5A7D3A"/>
          <w:sz w:val="18"/>
        </w:rPr>
        <w:t>https://pubmed.ncbi.nlm.nih.gov/42829970/</w:t>
      </w:r>
    </w:p>
    <w:p>
      <w:pPr>
        <w:pStyle w:val="Heading2"/>
      </w:pPr>
      <w:r>
        <w:t>GLP-1-Agonisten senken Sepsis-Sterblichkeit gegenüber SGLT2-Hemmern um 19 Prozent</w:t>
      </w:r>
    </w:p>
    <w:p>
      <w:r>
        <w:rPr>
          <w:i/>
          <w:color w:val="666666"/>
          <w:sz w:val="18"/>
        </w:rPr>
        <w:t>Liu HH et al.  ·  Drug Des Devel Ther  ·  29.09.2026  ·  PMID 42829714</w:t>
      </w:r>
    </w:p>
    <w:p>
      <w:r>
        <w:t>Propensity-Score-gematchtche Kohortenstudie aus TriNetX-Netzwerk (USA): Typ-2-Diabetiker mit Sepsis, die vor Infektion GLP-1RA oder SGLT2i erhielten, auf 90-Tage-Mortalität und kardiovaskuläre Ereignisse.</w:t>
      </w:r>
    </w:p>
    <w:p>
      <w:r>
        <w:rPr>
          <w:b/>
        </w:rPr>
        <w:t xml:space="preserve">Ergebnis: </w:t>
      </w:r>
      <w:r>
        <w:t>90-Tage-Mortalität: GLP-1RA 48,6 vs. SGLT2i 60,6 pro 100 Patientenjahre (HR 0,81; 95%-KI 0,75–0,88); MACE: HR 0,77 (0,65–0,91); ICU-Aufnahme HR 0,89 (0,84–0,94); E-values 1,4–1,7 deuten auf residuales Confounding hin.</w:t>
      </w:r>
    </w:p>
    <w:p>
      <w:r>
        <w:rPr>
          <w:b/>
          <w:sz w:val="19"/>
        </w:rPr>
        <w:t xml:space="preserve">Übertragbarkeit: </w:t>
      </w:r>
      <w:r>
        <w:rPr>
          <w:sz w:val="19"/>
        </w:rPr>
        <w:t>USA; Hypothesengenerierung; E-values zeigen Confounding-Anfälligkeit; Bestätigung in prospektiven Studien nötig.</w:t>
      </w:r>
    </w:p>
    <w:p>
      <w:r>
        <w:rPr>
          <w:color w:val="5A7D3A"/>
          <w:sz w:val="18"/>
        </w:rPr>
        <w:t>https://pubmed.ncbi.nlm.nih.gov/42829714/</w:t>
      </w:r>
    </w:p>
    <w:p>
      <w:pPr>
        <w:pStyle w:val="Heading2"/>
      </w:pPr>
      <w:r>
        <w:t>Spülungsprotokolle senkten Infektionen nach Hirnschrittmacher-Implantation um 60 Prozent</w:t>
      </w:r>
    </w:p>
    <w:p>
      <w:r>
        <w:rPr>
          <w:i/>
          <w:color w:val="666666"/>
          <w:sz w:val="18"/>
        </w:rPr>
        <w:t>Liu B et al.  ·  Front Neurol  ·  18.09.2026  ·  PMID 42827959</w:t>
      </w:r>
    </w:p>
    <w:p>
      <w:r>
        <w:t>Retrospektive Kohortenstudie von 385 DBS-Operationen mit vier Spülungsgruppen (Kochsalz, Wasserstoffperoxid, Povidon-Iod, Kombination) zur Reduktion oberflächlicher Infektionen.</w:t>
      </w:r>
    </w:p>
    <w:p>
      <w:r>
        <w:rPr>
          <w:b/>
        </w:rPr>
        <w:t xml:space="preserve">Ergebnis: </w:t>
      </w:r>
      <w:r>
        <w:t>Infektionsrate Kochsalz 5,26 % gegenüber Interventionsgruppen 1,02–1,04 % (p=0,039); Wasserstoffperoxid und 0,5 % Povidon-Iod jeweils eine Infektion pro ~100 Eingriffe.</w:t>
      </w:r>
    </w:p>
    <w:p>
      <w:r>
        <w:rPr>
          <w:b/>
          <w:sz w:val="19"/>
        </w:rPr>
        <w:t xml:space="preserve">Übertragbarkeit: </w:t>
      </w:r>
      <w:r>
        <w:rPr>
          <w:sz w:val="19"/>
        </w:rPr>
        <w:t>China; Prinzip auf andere Operationen übertragbar; vergleichbare Versorgungsstrukturen.</w:t>
      </w:r>
    </w:p>
    <w:p>
      <w:r>
        <w:rPr>
          <w:color w:val="5A7D3A"/>
          <w:sz w:val="18"/>
        </w:rPr>
        <w:t>https://pubmed.ncbi.nlm.nih.gov/42827959/</w:t>
      </w:r>
    </w:p>
    <w:p>
      <w:pPr>
        <w:pStyle w:val="Heading2"/>
      </w:pPr>
      <w:r>
        <w:t>RED-EYE-AMSP-Modell für Antibiotic Stewardship in der Augenheilkunde</w:t>
      </w:r>
    </w:p>
    <w:p>
      <w:r>
        <w:rPr>
          <w:i/>
          <w:color w:val="666666"/>
          <w:sz w:val="18"/>
        </w:rPr>
        <w:t>Panda PK et al.  ·  Indian J Ophthalmol  ·  01.10.2026  ·  PMID 42826044</w:t>
      </w:r>
    </w:p>
    <w:p>
      <w:r>
        <w:t>Qualitative Perspektive zur Implementierung von Antibiotic Stewardship (AMS) in der Ophthalmologie; 10-Punkte-Modell für rationale Verschreibung, kulturgelenkte Therapie und Vermeidung von Resistenzentwicklung.</w:t>
      </w:r>
    </w:p>
    <w:p>
      <w:r>
        <w:rPr>
          <w:b/>
        </w:rPr>
        <w:t xml:space="preserve">Ergebnis: </w:t>
      </w:r>
      <w:r>
        <w:t>RED-EYE-AMSP benennt: rationale Verordnung ohne OTC-Tropfen, kulturgeleitete Therapie für therapieresistente Infektionen, aseptische Chirurgie, Audit antimikrobieller Nutzung; Fokus auf Fusarium/Candida-Resistenz und Pseudomonas-Fluorochinolon-Resistenz als Versorgungsproblem in LMIC.</w:t>
      </w:r>
    </w:p>
    <w:p>
      <w:r>
        <w:rPr>
          <w:b/>
          <w:sz w:val="19"/>
        </w:rPr>
        <w:t xml:space="preserve">Übertragbarkeit: </w:t>
      </w:r>
      <w:r>
        <w:rPr>
          <w:sz w:val="19"/>
        </w:rPr>
        <w:t>Indien, LMIC-spezifisch; Stewardship-Prinzipien für Deutsche Kliniken und Praxen anwendbar.</w:t>
      </w:r>
    </w:p>
    <w:p>
      <w:r>
        <w:rPr>
          <w:color w:val="5A7D3A"/>
          <w:sz w:val="18"/>
        </w:rPr>
        <w:t>https://pubmed.ncbi.nlm.nih.gov/42826044/</w:t>
      </w:r>
    </w:p>
    <w:p>
      <w:pPr>
        <w:pStyle w:val="Heading2"/>
      </w:pPr>
      <w:r>
        <w:t>Frühe iatroge Menopause erhöht kardiovaskuläre Sterblichkeit vor Alter 45</w:t>
      </w:r>
    </w:p>
    <w:p>
      <w:r>
        <w:rPr>
          <w:i/>
          <w:color w:val="666666"/>
          <w:sz w:val="18"/>
        </w:rPr>
        <w:t>Armeni E et al.  ·  JAMA Netw Open  ·  01.10.2026  ·  PMID 42826016</w:t>
      </w:r>
    </w:p>
    <w:p>
      <w:r>
        <w:t>Systematischer Review und Meta-Analyse von 36 Studien mit 2,6 Mio. Frauen zu kardiovaskulärer Morbidität und Mortalität nach iatrogener Menopause vs. Kontrollen, stratifiziert nach Menopause-Alter.</w:t>
      </w:r>
    </w:p>
    <w:p>
      <w:r>
        <w:rPr>
          <w:b/>
        </w:rPr>
        <w:t xml:space="preserve">Ergebnis: </w:t>
      </w:r>
      <w:r>
        <w:t>Iatrogene Menopause assoziiert mit erhöhtem Risiko für kardiovaskuläre Ereignisse (PHR 1,25; 95%-KI 1,12–1,39), koronare Herzkrankheit (1,48; 1,07–2,03) und Schlaganfall (1,22; 1,15–1,28); Sterblichkeitsexzess nur vor Alter 45 Jahren (kardiovaskulär PHR 1,20; 1,04–1,37), nicht danach.</w:t>
      </w:r>
    </w:p>
    <w:p>
      <w:r>
        <w:rPr>
          <w:b/>
          <w:sz w:val="19"/>
        </w:rPr>
        <w:t xml:space="preserve">Übertragbarkeit: </w:t>
      </w:r>
      <w:r>
        <w:rPr>
          <w:sz w:val="19"/>
        </w:rPr>
        <w:t>UK, Nordamerika, Australien; Design und Messverfahren auf Deutschland übertragbar.</w:t>
      </w:r>
    </w:p>
    <w:p>
      <w:r>
        <w:rPr>
          <w:color w:val="5A7D3A"/>
          <w:sz w:val="18"/>
        </w:rPr>
        <w:t>https://pubmed.ncbi.nlm.nih.gov/42826016/</w:t>
      </w:r>
    </w:p>
    <w:p>
      <w:pPr>
        <w:pStyle w:val="Heading1"/>
      </w:pPr>
      <w:r>
        <w:t>Aufgenommen am 04.10.2026</w:t>
      </w:r>
    </w:p>
    <w:p>
      <w:pPr>
        <w:pStyle w:val="Heading2"/>
      </w:pPr>
      <w:r>
        <w:t>Frühe Multimodaltherapie mit drei Vasopressoren senkt Laktat und verbessert Organfunktion bei Septischem Schock</w:t>
      </w:r>
    </w:p>
    <w:p>
      <w:r>
        <w:rPr>
          <w:i/>
          <w:color w:val="666666"/>
          <w:sz w:val="18"/>
        </w:rPr>
        <w:t>Kalamar Ž et al.  ·  Crit Care  ·  07.09.2026  ·  PMID 42827265</w:t>
      </w:r>
    </w:p>
    <w:p>
      <w:r>
        <w:t>Randomisierte Phase-II-Studie (TRICYCLE) mit 79 Patienten in Intensivstationen; Vergleich früher Gabe von Angiotensin II, Vasopressin und Noradrenalin (Interventionsgruppe) gegen schrittweise Eskalation (Kontrolle) bei septischem Schock.</w:t>
      </w:r>
    </w:p>
    <w:p>
      <w:r>
        <w:rPr>
          <w:b/>
        </w:rPr>
        <w:t xml:space="preserve">Ergebnis: </w:t>
      </w:r>
      <w:r>
        <w:t>Schnellerer Rückgang Plasma-Renin 2,61 %/h vs. 1,67 %/h (p=0,015), Laktat 1,53 %/h vs. 1,01 %/h (p=0,006) in den ersten 72 h. SOFA-Score Reduktion: −3 Punkte vs. 0 (p=0,018). Tachyarrhythmien signifikant seltener (15,6 % vs. 68,6 %, p&lt;0,01). ICU-Mortalität 26,3 % vs. 41,5 %, 28-Tage-Mortalität 36,8 % vs. 46,3 % (keine Signifikanz). Physiologische Marker verbessert, klinische Mortalität nicht signifikant reduziert.</w:t>
      </w:r>
    </w:p>
    <w:p>
      <w:r>
        <w:rPr>
          <w:b/>
          <w:sz w:val="19"/>
        </w:rPr>
        <w:t xml:space="preserve">Übertragbarkeit: </w:t>
      </w:r>
      <w:r>
        <w:rPr>
          <w:sz w:val="19"/>
        </w:rPr>
        <w:t>Slowenien und Kroatien, vergleichbare Intensivmedizin; Behandlungsbündel-Ansatz übertragbar</w:t>
      </w:r>
    </w:p>
    <w:p>
      <w:r>
        <w:rPr>
          <w:color w:val="5A7D3A"/>
          <w:sz w:val="18"/>
        </w:rPr>
        <w:t>https://pubmed.ncbi.nlm.nih.gov/42827265/</w:t>
      </w:r>
    </w:p>
    <w:p>
      <w:pPr>
        <w:pStyle w:val="Heading2"/>
      </w:pPr>
      <w:r>
        <w:t>Immunreaktionen unter Checkpoint-Inhibitoren vorhersagen Überlebensvorteil unabhängig vom Alter</w:t>
      </w:r>
    </w:p>
    <w:p>
      <w:r>
        <w:rPr>
          <w:i/>
          <w:color w:val="666666"/>
          <w:sz w:val="18"/>
        </w:rPr>
        <w:t>Agbarya A et al.  ·  Front Immunol  ·  17.09.2026  ·  PMID 42824450</w:t>
      </w:r>
    </w:p>
    <w:p>
      <w:r>
        <w:t>Retrospektive multizentrische Studie mit 452 älteren und jüngeren Patienten mit metastasiertem nicht-kleinzelligem Lungenkarzinom unter Checkpoint-Inhibitoren; Analyse, ob Immunnebenwirkungen (irAEs) mit Progression Free und Overall Survival korrelieren.</w:t>
      </w:r>
    </w:p>
    <w:p>
      <w:r>
        <w:rPr>
          <w:b/>
        </w:rPr>
        <w:t xml:space="preserve">Ergebnis: </w:t>
      </w:r>
      <w:r>
        <w:t>344 Patienten &lt;75 Jahre, 108 ≥75 Jahre. Patienten ≥75 Jahre häufiger &gt;2 verschiedene irAE-Typen. Median PFS 12,0 und OS 15,0 Monate gesamt; OS signifikant kürzer in Gruppe ≥75 Jahren (p=0,008). Auftreten irAEs assoziiert mit verbesserter PFS und OS in beiden Altersgruppen; höhere irAE-Last (&gt;2 Typen) numerisch länger mit Überleben assoziiert.</w:t>
      </w:r>
    </w:p>
    <w:p>
      <w:r>
        <w:rPr>
          <w:b/>
          <w:sz w:val="19"/>
        </w:rPr>
        <w:t xml:space="preserve">Übertragbarkeit: </w:t>
      </w:r>
      <w:r>
        <w:rPr>
          <w:sz w:val="19"/>
        </w:rPr>
        <w:t>Israel, prospektives Design; Immunverträglichkeit als Prognosemarker übertragbar</w:t>
      </w:r>
    </w:p>
    <w:p>
      <w:r>
        <w:rPr>
          <w:color w:val="5A7D3A"/>
          <w:sz w:val="18"/>
        </w:rPr>
        <w:t>https://pubmed.ncbi.nlm.nih.gov/42824450/</w:t>
      </w:r>
    </w:p>
    <w:p>
      <w:pPr>
        <w:pStyle w:val="Heading2"/>
      </w:pPr>
      <w:r>
        <w:t>Impffehlquoten durch Arbeitsüberlastung und prekäre Bedingungen in Primärversorgung</w:t>
      </w:r>
    </w:p>
    <w:p>
      <w:r>
        <w:rPr>
          <w:i/>
          <w:color w:val="666666"/>
          <w:sz w:val="18"/>
        </w:rPr>
        <w:t>Cirino FMSB et al.  ·  Rev Bras Enferm  ·  28.09.2026  ·  PMID 42820566</w:t>
      </w:r>
    </w:p>
    <w:p>
      <w:r>
        <w:t>Reflexive brasilianische Studie über Impffehlquoten in der Grundversorgung; kritische Analyse der Arbeitsbedingungen von Pflegefachpersonen und organisatorischer Faktoren jenseits individueller Verantwortung.</w:t>
      </w:r>
    </w:p>
    <w:p>
      <w:r>
        <w:rPr>
          <w:b/>
        </w:rPr>
        <w:t xml:space="preserve">Ergebnis: </w:t>
      </w:r>
      <w:r>
        <w:t>Impffehlquoten nicht auf technische oder individuelle Fehler reduzierbar, sondern Ausdruck von Burnout durch prekäre Arbeitsbedingungen, Überarbeitung und ungleicher Ressourcenverteilung. Systemischer Ansatz erforderlich: Stärkung von Autonomie, würdige Arbeitsbedingungen und kritische Reflexionsräume für Sicherheitskultur.</w:t>
      </w:r>
    </w:p>
    <w:p>
      <w:r>
        <w:rPr>
          <w:b/>
          <w:sz w:val="19"/>
        </w:rPr>
        <w:t xml:space="preserve">Übertragbarkeit: </w:t>
      </w:r>
      <w:r>
        <w:rPr>
          <w:sz w:val="19"/>
        </w:rPr>
        <w:t>Brasilien; Arbeitsschutz und Fehlerkultur in Primärversorgung prinzipiell übertragbar</w:t>
      </w:r>
    </w:p>
    <w:p>
      <w:r>
        <w:rPr>
          <w:color w:val="5A7D3A"/>
          <w:sz w:val="18"/>
        </w:rPr>
        <w:t>https://pubmed.ncbi.nlm.nih.gov/42820566/</w:t>
      </w:r>
    </w:p>
    <w:p>
      <w:pPr>
        <w:pStyle w:val="Heading2"/>
      </w:pPr>
      <w:r>
        <w:t>Zellfreie DNA und HLA-DR vorhersagen Sepsis-Mortalität besser als Standardscores</w:t>
      </w:r>
    </w:p>
    <w:p>
      <w:r>
        <w:rPr>
          <w:i/>
          <w:color w:val="666666"/>
          <w:sz w:val="18"/>
        </w:rPr>
        <w:t>Peng X et al.  ·  J Int Med Res  ·  30.09.2026  ·  PMID 42816759</w:t>
      </w:r>
    </w:p>
    <w:p>
      <w:r>
        <w:t>Prospektive chinesische Kohortenstudie mit 307 Sepsispatienten auf Intensivstationen; Messung von zellfreier DNA und monozyten-HLA-DR-Expression in den ersten 24 h und Vorhersagekraft für 28-Tage-Mortalität gegenüber etablierten Scores.</w:t>
      </w:r>
    </w:p>
    <w:p>
      <w:r>
        <w:rPr>
          <w:b/>
        </w:rPr>
        <w:t xml:space="preserve">Ergebnis: </w:t>
      </w:r>
      <w:r>
        <w:t>89 von 307 Patienten starben (28,99 %). Höhere zellfreie DNA und niedrigere mHLA-DR bei Verstorbenen. Kombiniertes Biomarker-Modell erhöhte AUC von 0,79 auf 0,88 (gegenüber klinischem Basis-Modell). Net Reclassification Improvement und Integrated Discrimination Improvement signifikant positiv. Interne Validierung bestätigt. Externe Validierung erforderlich.</w:t>
      </w:r>
    </w:p>
    <w:p>
      <w:r>
        <w:rPr>
          <w:b/>
          <w:sz w:val="19"/>
        </w:rPr>
        <w:t xml:space="preserve">Übertragbarkeit: </w:t>
      </w:r>
      <w:r>
        <w:rPr>
          <w:sz w:val="19"/>
        </w:rPr>
        <w:t>China, prospektives Design; Biomarkerkombinatoren für Risikostratifikation übertragbar</w:t>
      </w:r>
    </w:p>
    <w:p>
      <w:r>
        <w:rPr>
          <w:color w:val="5A7D3A"/>
          <w:sz w:val="18"/>
        </w:rPr>
        <w:t>https://pubmed.ncbi.nlm.nih.gov/42816759/</w:t>
      </w:r>
    </w:p>
    <w:p>
      <w:pPr>
        <w:pStyle w:val="Heading2"/>
      </w:pPr>
      <w:r>
        <w:t>Angemessene Antibiotikaauswahl reduziert unerwünschte Ereignisse bei COPD-Exazerbation um 41 %</w:t>
      </w:r>
    </w:p>
    <w:p>
      <w:r>
        <w:rPr>
          <w:i/>
          <w:color w:val="666666"/>
          <w:sz w:val="18"/>
        </w:rPr>
        <w:t>Perales-Muñoz R et al.  ·  Rev Esp Quimioter  ·  21.09.2026  ·  PMID 42768888</w:t>
      </w:r>
    </w:p>
    <w:p>
      <w:r>
        <w:t>Spanische Multizenterstudie an 4.136 Patienten mit akuter COPD-Exazerbation in Notfallaufnahmen; Auswertung, ob die Wahl des Antibiotikums nach nationalen Leitlinien mit 30-Tage-Ergebnissen (Rückfall, Wiederaufnahme, Tod) assoziiert ist.</w:t>
      </w:r>
    </w:p>
    <w:p>
      <w:r>
        <w:rPr>
          <w:b/>
        </w:rPr>
        <w:t xml:space="preserve">Ergebnis: </w:t>
      </w:r>
      <w:r>
        <w:t>56,9 % der aus der Notaufnahme entlassenen Patienten erhielten Antibiotika, 16,0 % inadäquat. Unerwünschte Ereignisse bei inadäquater Therapie 20,9 % vs. 13,3 % (p=0,019); adjustierte Risikoreduktion durch angemessene Auswahl: RR 0,59 (95%-CI 0,41–0,85, p=0,004). Einziger beeinflussbarer Faktor mit unabhängiger Schutzwirkung.</w:t>
      </w:r>
    </w:p>
    <w:p>
      <w:r>
        <w:rPr>
          <w:b/>
          <w:sz w:val="19"/>
        </w:rPr>
        <w:t xml:space="preserve">Übertragbarkeit: </w:t>
      </w:r>
      <w:r>
        <w:rPr>
          <w:sz w:val="19"/>
        </w:rPr>
        <w:t>Spanien, vergleichbare Notaufnahmesysteme; Leitlinienkonformität als Qualitätsindikator übertragbar</w:t>
      </w:r>
    </w:p>
    <w:p>
      <w:r>
        <w:rPr>
          <w:color w:val="5A7D3A"/>
          <w:sz w:val="18"/>
        </w:rPr>
        <w:t>https://pubmed.ncbi.nlm.nih.gov/42768888/</w:t>
      </w:r>
    </w:p>
    <w:p>
      <w:pPr>
        <w:pStyle w:val="Heading2"/>
      </w:pPr>
      <w:r>
        <w:t>Serratia-Bakteriämie: Stabile Inzidenz, 24 % Mortalität, Wirtsmerkmale bestimmen Ausgang</w:t>
      </w:r>
    </w:p>
    <w:p>
      <w:r>
        <w:rPr>
          <w:i/>
          <w:color w:val="666666"/>
          <w:sz w:val="18"/>
        </w:rPr>
        <w:t>Thiele IM et al.  ·  APMIS  ·  Aug. 2026  ·  PMID 42635016</w:t>
      </w:r>
    </w:p>
    <w:p>
      <w:r>
        <w:t>Populationsbasierte dänische Kohortenstudie (2010–2024) mit 188 Patienten mit Serratia-Bakteriämie; Erfassung klinischer Charakteristika, Infektfokus und 30-Tage-Mortalität nach Art der Akquisition (ambulant, healthcare-assoziiert, nosokomial).</w:t>
      </w:r>
    </w:p>
    <w:p>
      <w:r>
        <w:rPr>
          <w:b/>
        </w:rPr>
        <w:t xml:space="preserve">Ergebnis: </w:t>
      </w:r>
      <w:r>
        <w:t>Stabile jährliche Inzidenz 2,1/100.000 Personenjahre (95%-CI 1,8–2,5). Gemeinschaftserworben 38 %, nosokomial 37 %, Fokus Harnweg 25 %, Gallenwege 20 %, keine Fokusidentifikation 28 %. 30-Tage-Mortalität 24 %. Höheres Alter (RR 1,02 pro Jahr) und hoher Comorbidity-Index (RR 2,58, 95%-CI 1,01–6,63) mit erhöhter Mortalität assoziiert; Akquisitionsart nicht signifikant.</w:t>
      </w:r>
    </w:p>
    <w:p>
      <w:r>
        <w:rPr>
          <w:b/>
          <w:sz w:val="19"/>
        </w:rPr>
        <w:t xml:space="preserve">Übertragbarkeit: </w:t>
      </w:r>
      <w:r>
        <w:rPr>
          <w:sz w:val="19"/>
        </w:rPr>
        <w:t>Dänemark, Meldepflicht und Entschädigung ohne Verschuldensnachweis; Epidemiologie nicht direkt mit Deutschland vergleichbar</w:t>
      </w:r>
    </w:p>
    <w:p>
      <w:r>
        <w:rPr>
          <w:color w:val="5A7D3A"/>
          <w:sz w:val="18"/>
        </w:rPr>
        <w:t>https://pubmed.ncbi.nlm.nih.gov/42635016/</w:t>
      </w:r>
    </w:p>
    <w:p>
      <w:pPr>
        <w:pStyle w:val="Heading1"/>
      </w:pPr>
      <w:r>
        <w:t>Aufgenommen am 03.10.2026</w:t>
      </w:r>
    </w:p>
    <w:p>
      <w:pPr>
        <w:pStyle w:val="Heading2"/>
      </w:pPr>
      <w:r>
        <w:t>Strukturierte Intervention senkte 72-Stunden-Wiederaufnahmen bei Sepsis um 0,00112 pro Patient pro Monat</w:t>
      </w:r>
    </w:p>
    <w:p>
      <w:r>
        <w:rPr>
          <w:i/>
          <w:color w:val="666666"/>
          <w:sz w:val="18"/>
        </w:rPr>
        <w:t>Burns R et al.  ·  South Med J  ·  02.10.2026  ·  PMID 42826397</w:t>
      </w:r>
    </w:p>
    <w:p>
      <w:r>
        <w:t>Retrospektive Kohortenstudie mit unterbrochener Zeitreihenanalyse: Auswirkung einer Interventionsmaßnahme auf 72-Stunden-Wiederaufnahmen von Patienten mit Sepsis oder Pyelonephritis in einer US-amerikanischen Notaufnahme (2020–2023).</w:t>
      </w:r>
    </w:p>
    <w:p>
      <w:r>
        <w:rPr>
          <w:b/>
        </w:rPr>
        <w:t xml:space="preserve">Ergebnis: </w:t>
      </w:r>
      <w:r>
        <w:t>Von 39.818 Patienten hatten 4.907 (12,3 %) 72-Stunden-Wiederaufnahmen. Vor Intervention: Anstieg um 0,00054 pro Aufnahme pro Monat (p=0,30). Nach Interventionsimplementierung am 4. Mai 2021 sofortiger Rückgang um 0,0017 (p=0,75), dann nachhaltiger Rückgang um 0,00112 pro Aufnahme pro Monat (p=0,04). Für Sepsis spezifisch: nachhaltiger Rückgang von 0,0033 pro Aufnahme pro Monat (p=0,02). Intervention war mit nachhaltiger Reduktion der Wiederaufnahmen assoziiert.</w:t>
      </w:r>
    </w:p>
    <w:p>
      <w:r>
        <w:rPr>
          <w:b/>
          <w:sz w:val="19"/>
        </w:rPr>
        <w:t xml:space="preserve">Übertragbarkeit: </w:t>
      </w:r>
      <w:r>
        <w:rPr>
          <w:sz w:val="19"/>
        </w:rPr>
        <w:t>USA, Wiederaufnahme-Messung übertragbar, Interventionsdetails fehlen</w:t>
      </w:r>
    </w:p>
    <w:p>
      <w:r>
        <w:rPr>
          <w:color w:val="5A7D3A"/>
          <w:sz w:val="18"/>
        </w:rPr>
        <w:t>https://pubmed.ncbi.nlm.nih.gov/42826397/</w:t>
      </w:r>
    </w:p>
    <w:p>
      <w:pPr>
        <w:pStyle w:val="Heading2"/>
      </w:pPr>
      <w:r>
        <w:t>Antibiotic Stewardship bei geschlossenen Gesichtsfrakturen reduziert Schaden ohne Infektionsschutz</w:t>
      </w:r>
    </w:p>
    <w:p>
      <w:r>
        <w:rPr>
          <w:i/>
          <w:color w:val="666666"/>
          <w:sz w:val="18"/>
        </w:rPr>
        <w:t>Isaac JI et al.  ·  South Med J  ·  02.10.2026  ·  PMID 42826395</w:t>
      </w:r>
    </w:p>
    <w:p>
      <w:r>
        <w:t>Systematische Übersicht von sieben US-amerikanischen Studien mit 3.274 Patienten zu prophylaktischen Antibiotika bei nicht-operativ behandelten Gesichtsfrakturen: Frakturen-assoziierte Infektionsrate 1,0 %, ohne Nutzen der Antibiotikaprophylaxe.</w:t>
      </w:r>
    </w:p>
    <w:p>
      <w:r>
        <w:rPr>
          <w:b/>
        </w:rPr>
        <w:t xml:space="preserve">Ergebnis: </w:t>
      </w:r>
      <w:r>
        <w:t>Infektionsraten waren niedrig (1,0 % in der größten prospektiven Kohortenstudie) und wurden durch Prophylaxe nicht gesenkt (angepasstes Odds Ratio 1,24–1,32). Längere Antibiotikaexposition war mit isolierten Fällen von Clostridioides-difficile-Kolitis assoziiert. Verfügbare Evidenz unterstützt keine routinemäßige Prophylaxe für unkomplizierte, nicht-operative Gesichtsfrakturen.</w:t>
      </w:r>
    </w:p>
    <w:p>
      <w:r>
        <w:rPr>
          <w:b/>
          <w:sz w:val="19"/>
        </w:rPr>
        <w:t xml:space="preserve">Übertragbarkeit: </w:t>
      </w:r>
      <w:r>
        <w:rPr>
          <w:sz w:val="19"/>
        </w:rPr>
        <w:t>USA-Daten, Prinzip aber übertragbar: vermeidbarer Schaden durch unnötige Antibiotikaexposition</w:t>
      </w:r>
    </w:p>
    <w:p>
      <w:r>
        <w:rPr>
          <w:color w:val="5A7D3A"/>
          <w:sz w:val="18"/>
        </w:rPr>
        <w:t>https://pubmed.ncbi.nlm.nih.gov/42826395/</w:t>
      </w:r>
    </w:p>
    <w:p>
      <w:pPr>
        <w:pStyle w:val="Heading2"/>
      </w:pPr>
      <w:r>
        <w:t>Hochantibiotika-Exposition bei niedriger Sepsis-Inzidenz in Neugeborenen-Intensivstationen Ungarns</w:t>
      </w:r>
    </w:p>
    <w:p>
      <w:r>
        <w:rPr>
          <w:i/>
          <w:color w:val="666666"/>
          <w:sz w:val="18"/>
        </w:rPr>
        <w:t>Mari J et al.  ·  Eur J Pediatr  ·  02.10.2026  ·  PMID 42825830</w:t>
      </w:r>
    </w:p>
    <w:p>
      <w:r>
        <w:t>Nationale Registry-Analyse der Antibiotika-Exposition bei Neugeborenen mit früher Sepsis in Ungarn (2020–2023): 0,41 Fälle pro 1.000 Lebendgeburten, aber 63,9 % aller auf Intensivstationen behandelten Neugeborenen erhielten Antibiotika.</w:t>
      </w:r>
    </w:p>
    <w:p>
      <w:r>
        <w:rPr>
          <w:b/>
        </w:rPr>
        <w:t xml:space="preserve">Ergebnis: </w:t>
      </w:r>
      <w:r>
        <w:t>Die Inzidenz der kultivierten early-onset sepsis (CP-EOS) betrug 0,41 pro 1.000 Lebendgeburten (0,20 bei ≥35 Wochen, 7,0 bei &lt;35 Wochen). Trotzdem erhalten 63,9 % der NICU-Neugeborenen Antibiotika im Median 5 (3–8) Tage. Ein Minimum von 3,2 % aller Neugeborenen Ungarns erhielten Antibiotika, und 15,6 % der Blutkulturen zeigten keine nachfolgende Antibiotikabehandlung. Die Studie dokumentiert unnötig hohe Antibiotika-Exposition bei geringer sepsis-Inzidenz und fordert Strategien zur Reduktion.</w:t>
      </w:r>
    </w:p>
    <w:p>
      <w:r>
        <w:rPr>
          <w:b/>
          <w:sz w:val="19"/>
        </w:rPr>
        <w:t xml:space="preserve">Übertragbarkeit: </w:t>
      </w:r>
      <w:r>
        <w:rPr>
          <w:sz w:val="19"/>
        </w:rPr>
        <w:t>Europäische Daten, vergleichbare neonatale Intensivmedizin, Antibiotic Stewardship-relevanz</w:t>
      </w:r>
    </w:p>
    <w:p>
      <w:r>
        <w:rPr>
          <w:color w:val="5A7D3A"/>
          <w:sz w:val="18"/>
        </w:rPr>
        <w:t>https://pubmed.ncbi.nlm.nih.gov/42825830/</w:t>
      </w:r>
    </w:p>
    <w:p>
      <w:pPr>
        <w:pStyle w:val="Heading2"/>
      </w:pPr>
      <w:r>
        <w:t>Sichere Praktiken in der intravenösen Arzneimitteltherapie: Asepsis, Labeling und Dokumentation verhindern Fehler</w:t>
      </w:r>
    </w:p>
    <w:p>
      <w:r>
        <w:rPr>
          <w:i/>
          <w:color w:val="666666"/>
          <w:sz w:val="18"/>
        </w:rPr>
        <w:t>Rocha HDSD et al.  ·  Rev Bras Enferm  ·  28.09.2026  ·  PMID 42820560</w:t>
      </w:r>
    </w:p>
    <w:p>
      <w:r>
        <w:t>Scoping Review nach JBI über sichere Praktiken bei intravenöser Arzneimitteltherapie bei hospitalisierten Erwachsenen: Analyse von 18 Studien zu Asepsis, Vorbereitung, Kennzeichnung, Applikation und Dokumentation.</w:t>
      </w:r>
    </w:p>
    <w:p>
      <w:r>
        <w:rPr>
          <w:b/>
        </w:rPr>
        <w:t xml:space="preserve">Ergebnis: </w:t>
      </w:r>
      <w:r>
        <w:t>Identifizierte sichere Praktiken während intravenöser Arzneimitteltherapie: Händehygiene, Doppelcheck, Medikamenten- und Patientenidentifikation, Prüfung der Zugangspermeabilität, Dokumentation der Verabreichung und Nebenwirkungen. Diese fünf Stufen (Aseptik, Vorbereitung, Labeling, Applikation, Dokumentation) werden als grundlegend für die Sicherheit hospitalisierter Patienten beschrieben.</w:t>
      </w:r>
    </w:p>
    <w:p>
      <w:r>
        <w:rPr>
          <w:b/>
          <w:sz w:val="19"/>
        </w:rPr>
        <w:t xml:space="preserve">Übertragbarkeit: </w:t>
      </w:r>
      <w:r>
        <w:rPr>
          <w:sz w:val="19"/>
        </w:rPr>
        <w:t>Brasilien, aber internationale Best-Practice-Synthese, direkt auf Deutschland übertragbar</w:t>
      </w:r>
    </w:p>
    <w:p>
      <w:r>
        <w:rPr>
          <w:color w:val="5A7D3A"/>
          <w:sz w:val="18"/>
        </w:rPr>
        <w:t>https://pubmed.ncbi.nlm.nih.gov/42820560/</w:t>
      </w:r>
    </w:p>
    <w:p>
      <w:pPr>
        <w:pStyle w:val="Heading2"/>
      </w:pPr>
      <w:r>
        <w:t>Candida-auris-Ausbruch mit Echinocandin-Resistenz in der Türkei dokumentiert Übertragungsdynamik</w:t>
      </w:r>
    </w:p>
    <w:p>
      <w:r>
        <w:rPr>
          <w:i/>
          <w:color w:val="666666"/>
          <w:sz w:val="18"/>
        </w:rPr>
        <w:t>Spruijtenburg B et al.  ·  Int J Infect Dis  ·  14.08.2026  ·  PMID 42600976</w:t>
      </w:r>
    </w:p>
    <w:p>
      <w:r>
        <w:t>Retrospektive Analyse eines C.-auris-Ausbruchs in einem türkischen Tertiärzentrum (April 2023 – September 2025): 119 Patienten mit Blutstrominfektion, Genotypisierung zeigte Ausbreitung eines Einzelstamms über 21 Stationen ohne Neueinschleppung.</w:t>
      </w:r>
    </w:p>
    <w:p>
      <w:r>
        <w:rPr>
          <w:b/>
        </w:rPr>
        <w:t xml:space="preserve">Ergebnis: </w:t>
      </w:r>
      <w:r>
        <w:t>119 Patienten mit C.-auris-Blutstrominfektion, 30-Tage-Mortalität 54 %. Alle Isolate waren Fluconazol-resistent; zwei Patienten mit vorheriger Echinocandin-Exposition hatten Echinocandin-resistente Isolate (FKS1S639P). Genotypisierung zeigte Clade I mit drei eng verwandten Genotypen; epidemiologische Rückverfolgung und molekulares Typing zeigten, dass ein Ausbruchspatient die Quelle war und sich der Stamm ohne weitere Einschleppungen über mehrere Stationen ausbreitete. Erkannte Übertragungsdynamik unterstreicht Notwendigkeit stärkerer Infektionsprävention.</w:t>
      </w:r>
    </w:p>
    <w:p>
      <w:r>
        <w:rPr>
          <w:b/>
          <w:sz w:val="19"/>
        </w:rPr>
        <w:t xml:space="preserve">Übertragbarkeit: </w:t>
      </w:r>
      <w:r>
        <w:rPr>
          <w:sz w:val="19"/>
        </w:rPr>
        <w:t>Türkei (Europa), Ausbruch-Management relevant, Meldepflichten unterscheiden sich</w:t>
      </w:r>
    </w:p>
    <w:p>
      <w:r>
        <w:rPr>
          <w:color w:val="5A7D3A"/>
          <w:sz w:val="18"/>
        </w:rPr>
        <w:t>https://pubmed.ncbi.nlm.nih.gov/42600976/</w:t>
      </w:r>
    </w:p>
    <w:p>
      <w:pPr>
        <w:pStyle w:val="Heading1"/>
      </w:pPr>
      <w:r>
        <w:t>Aufgenommen am 02.10.2026</w:t>
      </w:r>
    </w:p>
    <w:p>
      <w:pPr>
        <w:pStyle w:val="Heading2"/>
      </w:pPr>
      <w:r>
        <w:t>Dediziertes Wechsel-Team senkte Dekubitalulzera auf Intensivstationen um 42 Prozent</w:t>
      </w:r>
    </w:p>
    <w:p>
      <w:r>
        <w:rPr>
          <w:i/>
          <w:color w:val="666666"/>
          <w:sz w:val="18"/>
        </w:rPr>
        <w:t>Tapper GM et al.  ·  Dimens Crit Care Nurs  ·  30.09.2026  ·  PMID 42821859</w:t>
      </w:r>
    </w:p>
    <w:p>
      <w:r>
        <w:t>24-Bett-Herzintensivstation führte nichtmedizinisches Team zur regelmäßigen Patientenumlagerung und Mobilisierung ein; untersucht wurde Effekt auf nosokomiale Druckgeschwüre vor und nach Intervention bei unkontrolliert vielen Patientenaufnahmen.</w:t>
      </w:r>
    </w:p>
    <w:p>
      <w:r>
        <w:rPr>
          <w:b/>
        </w:rPr>
        <w:t xml:space="preserve">Ergebnis: </w:t>
      </w:r>
      <w:r>
        <w:t>Dekubitusrate sank um 42% (p=0,043). Nach Adjustment für Tagesbelegung sank das tägliche Risiko von 6,74% auf 4,03% (adjustierte OR 0,581; 95%-KI 0,33-1,02; p=0,059). Pflegekräfte bewerteten Teamzusammenarbeit und Produktivitätssteigerung positiv in Umfragen.</w:t>
      </w:r>
    </w:p>
    <w:p>
      <w:r>
        <w:rPr>
          <w:b/>
          <w:sz w:val="19"/>
        </w:rPr>
        <w:t xml:space="preserve">Übertragbarkeit: </w:t>
      </w:r>
      <w:r>
        <w:rPr>
          <w:sz w:val="19"/>
        </w:rPr>
        <w:t>USA (Cleveland Clinic Abu Dhabi); Organisationsmodell ist systemunabhängig übertragbar</w:t>
      </w:r>
    </w:p>
    <w:p>
      <w:r>
        <w:rPr>
          <w:color w:val="5A7D3A"/>
          <w:sz w:val="18"/>
        </w:rPr>
        <w:t>https://pubmed.ncbi.nlm.nih.gov/42821859/</w:t>
      </w:r>
    </w:p>
    <w:p>
      <w:pPr>
        <w:pStyle w:val="Heading2"/>
      </w:pPr>
      <w:r>
        <w:t>Entzündungs-Ernährungs-Index am dritten postoperativen Tag sagt Wundkomplikationen voraus</w:t>
      </w:r>
    </w:p>
    <w:p>
      <w:r>
        <w:rPr>
          <w:i/>
          <w:color w:val="666666"/>
          <w:sz w:val="18"/>
        </w:rPr>
        <w:t>Gönüllü ME et al.  ·  Langenbecks Arch Surg  ·  01.09.2026  ·  PMID 42821143</w:t>
      </w:r>
    </w:p>
    <w:p>
      <w:r>
        <w:t>Retrospektive Beobachtungsstudie in zwei türkischen Chirurgiefachbereichen mit 86 Patienten (Januar 2020–Dezember 2025) evaluierte einen neuen Wound Inflammation-Nutrition Index (WINA) und dessen Änderung zwischen postoperativem Tag 1 und 3 (ΔWINA) zur Vorhersage von Wundkomplikationen.</w:t>
      </w:r>
    </w:p>
    <w:p>
      <w:r>
        <w:rPr>
          <w:b/>
        </w:rPr>
        <w:t xml:space="preserve">Ergebnis: </w:t>
      </w:r>
      <w:r>
        <w:t>27,9% (n=24) entwickelten Wundkomplikationen. WINA-Werte an POD1/POD3 und ΔWINA waren bei Komplikationen höher (alle p&lt;0,001). ΔWINA pro 100-Unit-Steigerung: adjustierte OR 2,12 (95%-KI 1,44–3,13; p=0,001). ΔWINA erreichte AUC 0,872 (95%-KI 0,789–0,941) mit 83,3% Sensitivität, 80,6% Spezifität.</w:t>
      </w:r>
    </w:p>
    <w:p>
      <w:r>
        <w:rPr>
          <w:b/>
          <w:sz w:val="19"/>
        </w:rPr>
        <w:t xml:space="preserve">Übertragbarkeit: </w:t>
      </w:r>
      <w:r>
        <w:rPr>
          <w:sz w:val="19"/>
        </w:rPr>
        <w:t>Türkei, europäisch angrenzend; Entzündungsmarker sind in Deutschland routinemäßig verfügbar</w:t>
      </w:r>
    </w:p>
    <w:p>
      <w:r>
        <w:rPr>
          <w:color w:val="5A7D3A"/>
          <w:sz w:val="18"/>
        </w:rPr>
        <w:t>https://pubmed.ncbi.nlm.nih.gov/42821143/</w:t>
      </w:r>
    </w:p>
    <w:p>
      <w:pPr>
        <w:pStyle w:val="Heading2"/>
      </w:pPr>
      <w:r>
        <w:t>Carbapenem-Audit veränderte Gram-negative Resistenzmuster, aber mit Ausweicheffekten</w:t>
      </w:r>
    </w:p>
    <w:p>
      <w:r>
        <w:rPr>
          <w:i/>
          <w:color w:val="666666"/>
          <w:sz w:val="18"/>
        </w:rPr>
        <w:t>Keshavarzi F et al.  ·  Arch Microbiol  ·  01.10.2026  ·  PMID 42821075</w:t>
      </w:r>
    </w:p>
    <w:p>
      <w:r>
        <w:t>Malaysisches Uniklinikum untersuchte 6 Jahre (2015-2020), wie ein Post-Prescription-Audit für Carbapeneme die Anfälligkeit von sieben Gram-negativen Erregern verändert; Analyse mittels unterbrochener Zeitreihen und ARIMA-Modellierung.</w:t>
      </w:r>
    </w:p>
    <w:p>
      <w:r>
        <w:rPr>
          <w:b/>
        </w:rPr>
        <w:t xml:space="preserve">Ergebnis: </w:t>
      </w:r>
      <w:r>
        <w:t>Audit war mit erregerspezifischen Trend-Umkehrungen verbunden. Proteus mirabilis-Imipenem-Empfindlichkeit erholte sich (β=9,465; p=0,005). Klebsiella pneumoniae und Pseudomonas aeruginosa zeigten Abwärts-Trend-Umkehrungen trotz steigender Baselines. Ökologische Verschiebungen auf Fluoroquinolone und β-Laktam/β-Laktamase-Inhibitoren traten auf (P. mirabilis Amoxicillin-Clavulanat β=−43,023; p=0,024).</w:t>
      </w:r>
    </w:p>
    <w:p>
      <w:r>
        <w:rPr>
          <w:b/>
          <w:sz w:val="19"/>
        </w:rPr>
        <w:t xml:space="preserve">Übertragbarkeit: </w:t>
      </w:r>
      <w:r>
        <w:rPr>
          <w:sz w:val="19"/>
        </w:rPr>
        <w:t>Malaysia, vergleichbar mit deutschen Stewardship-Audits; zeigt Grenzen und Verschiebungsrisiken</w:t>
      </w:r>
    </w:p>
    <w:p>
      <w:r>
        <w:rPr>
          <w:color w:val="5A7D3A"/>
          <w:sz w:val="18"/>
        </w:rPr>
        <w:t>https://pubmed.ncbi.nlm.nih.gov/42821075/</w:t>
      </w:r>
    </w:p>
    <w:p>
      <w:pPr>
        <w:pStyle w:val="Heading2"/>
      </w:pPr>
      <w:r>
        <w:t>Digitale Automatisierung klinischer Pfade erhöhte Adherence an Protokolle um 63 Prozent</w:t>
      </w:r>
    </w:p>
    <w:p>
      <w:r>
        <w:rPr>
          <w:i/>
          <w:color w:val="666666"/>
          <w:sz w:val="18"/>
        </w:rPr>
        <w:t>Eduardo AA et al.  ·  Einstein (Sao Paulo)  ·  25.09.2026  ·  PMID 42820545</w:t>
      </w:r>
    </w:p>
    <w:p>
      <w:r>
        <w:t>Brasilianisches Universitätskrankenhaus implementierte ein Clinical-Decision-Support-System für Adipositas-Primärversorgung; Vergleich Labortestbestellmuster vor (2023) und nach (2024) Automatisierung bei Hunderten von Besuchen.</w:t>
      </w:r>
    </w:p>
    <w:p>
      <w:r>
        <w:rPr>
          <w:b/>
        </w:rPr>
        <w:t xml:space="preserve">Ergebnis: </w:t>
      </w:r>
      <w:r>
        <w:t>Adherente Tests stiegen um 63% (IRR 1,63; 95%-KI 1,37–1,96; p&lt;0,001). Median adherente Tests pro Besuch: vorher 1,0, nachher 3,0 (p=0,027). Perplexity sank von 70,9 auf 57,6, zeigend konzentriertere Testbestellungen auf Protokollgrundlage. Von den Top-10 Wachstumstests waren 9/10 protokollbasiert.</w:t>
      </w:r>
    </w:p>
    <w:p>
      <w:r>
        <w:rPr>
          <w:b/>
          <w:sz w:val="19"/>
        </w:rPr>
        <w:t xml:space="preserve">Übertragbarkeit: </w:t>
      </w:r>
      <w:r>
        <w:rPr>
          <w:sz w:val="19"/>
        </w:rPr>
        <w:t>Brasilien, Sozialversicherung; digitale Steuerung von Diagnostik ist in Deutschland relevant</w:t>
      </w:r>
    </w:p>
    <w:p>
      <w:r>
        <w:rPr>
          <w:color w:val="5A7D3A"/>
          <w:sz w:val="18"/>
        </w:rPr>
        <w:t>https://pubmed.ncbi.nlm.nih.gov/42820545/</w:t>
      </w:r>
    </w:p>
    <w:p>
      <w:pPr>
        <w:pStyle w:val="Heading2"/>
      </w:pPr>
      <w:r>
        <w:t>Laboroptimierung senkte Sterblichkeit bei Blutstrominfektion um 17 Prozent</w:t>
      </w:r>
    </w:p>
    <w:p>
      <w:r>
        <w:rPr>
          <w:i/>
          <w:color w:val="666666"/>
          <w:sz w:val="18"/>
        </w:rPr>
        <w:t>Shao J et al.  ·  Front Cell Infect Microbiol  ·  16.09.2026  ·  PMID 42819223</w:t>
      </w:r>
    </w:p>
    <w:p>
      <w:r>
        <w:t>Zehn Krankenhäuser in China optimierten ihre Blutkultur-Laborabläufe durch 24/7-Bearbeitung, schnelle MALDI-TOF-Massenspektrometrie und parallele Antibiogramme; untersucht wurden Auswirkungen auf Sterblichkeit, Kosten und Antibiotikagebrauch bei 1826 Patienten mit Sepsis.</w:t>
      </w:r>
    </w:p>
    <w:p>
      <w:r>
        <w:rPr>
          <w:b/>
        </w:rPr>
        <w:t xml:space="preserve">Ergebnis: </w:t>
      </w:r>
      <w:r>
        <w:t>In-Hospital-Mortalität sank von 19,5% auf 13,1% (p=0,002). Zeiten bis zur Erregererkennung wurden um 11-18,5 Stunden verkürzt. Gesamtkrankenhauskosten sanken signifikant (p=0,003), Antibiotikaausgaben nach statistischer Adjustment um p&lt;0,001. Längenaufenthalt und Laborkosten zeigten keine signifikanten Unterschiede.</w:t>
      </w:r>
    </w:p>
    <w:p>
      <w:r>
        <w:rPr>
          <w:b/>
          <w:sz w:val="19"/>
        </w:rPr>
        <w:t xml:space="preserve">Übertragbarkeit: </w:t>
      </w:r>
      <w:r>
        <w:rPr>
          <w:sz w:val="19"/>
        </w:rPr>
        <w:t>China, vergleichbare Laborstruktur; Methode auf deutsches System übertragbar</w:t>
      </w:r>
    </w:p>
    <w:p>
      <w:r>
        <w:rPr>
          <w:color w:val="5A7D3A"/>
          <w:sz w:val="18"/>
        </w:rPr>
        <w:t>https://pubmed.ncbi.nlm.nih.gov/42819223/</w:t>
      </w:r>
    </w:p>
    <w:p>
      <w:pPr>
        <w:pStyle w:val="Heading2"/>
      </w:pPr>
      <w:r>
        <w:t>WHO-Checkliste mit geschulten Teams hob Sicherheitskultur in OP um 12 Prozentpunkte</w:t>
      </w:r>
    </w:p>
    <w:p>
      <w:r>
        <w:rPr>
          <w:i/>
          <w:color w:val="666666"/>
          <w:sz w:val="18"/>
        </w:rPr>
        <w:t>Aouicha W et al.  ·  J Nurs Manag  ·  2026  ·  PMID 42817022</w:t>
      </w:r>
    </w:p>
    <w:p>
      <w:r>
        <w:t>Zwei tunesische Krankenhäuser führten ein Implementierungsbündel mit Surgical Safety Checklist, Teamtraining, Mentoring und Audit durch; 347 Fachkräfte (Ärzte, Anästhesisten, Pflegende) wurden befragt zu Sicherheitswahrnehmung in 12 Operationssälen über 21 Monate.</w:t>
      </w:r>
    </w:p>
    <w:p>
      <w:r>
        <w:rPr>
          <w:b/>
        </w:rPr>
        <w:t xml:space="preserve">Ergebnis: </w:t>
      </w:r>
      <w:r>
        <w:t>Gesamtwahrnehmte Sicherheit stieg von 70,7% auf 82,4% (postintervention) und stabilisierte sich. Vier Dimensionen verbesserten sich signifikant: Organisationales Lernen von 37,7% auf 50,6%, Teamwork innerhalb von 47,6% auf 59,1%, Kommunikationsopenness von 27,2% auf 46,2%, Teamwork übergreifend von 29,2% auf 37,5%.</w:t>
      </w:r>
    </w:p>
    <w:p>
      <w:r>
        <w:rPr>
          <w:b/>
          <w:sz w:val="19"/>
        </w:rPr>
        <w:t xml:space="preserve">Übertragbarkeit: </w:t>
      </w:r>
      <w:r>
        <w:rPr>
          <w:sz w:val="19"/>
        </w:rPr>
        <w:t>Nordafrika, multilingual; Settings mit Ressourcenknappheit wie deutsche Bundesländer</w:t>
      </w:r>
    </w:p>
    <w:p>
      <w:r>
        <w:rPr>
          <w:color w:val="5A7D3A"/>
          <w:sz w:val="18"/>
        </w:rPr>
        <w:t>https://pubmed.ncbi.nlm.nih.gov/42817022/</w:t>
      </w:r>
    </w:p>
    <w:p>
      <w:pPr>
        <w:pStyle w:val="Heading1"/>
      </w:pPr>
      <w:r>
        <w:t>Aufgenommen am 01.10.2026</w:t>
      </w:r>
    </w:p>
    <w:p>
      <w:pPr>
        <w:pStyle w:val="Heading2"/>
      </w:pPr>
      <w:r>
        <w:t>Defensive Medizin bei Geburtshelferinnen und Frauenärztinnen: Arbeitsunzufriedenheit steigert Schutzverhalten stark</w:t>
      </w:r>
    </w:p>
    <w:p>
      <w:r>
        <w:rPr>
          <w:i/>
          <w:color w:val="666666"/>
          <w:sz w:val="18"/>
        </w:rPr>
        <w:t>Cenger CD et al.  ·  JMIR Form Res  ·  30.09.2026  ·  PMID 42814963</w:t>
      </w:r>
    </w:p>
    <w:p>
      <w:r>
        <w:t>Cross-sectional-Studie (n=1069) unter Fachleuten in Geburtsmedizin in Istanbul; multivariable lineare Regressionsmodelle zur Identifikation unabhängig assoziierter Faktoren.</w:t>
      </w:r>
    </w:p>
    <w:p>
      <w:r>
        <w:rPr>
          <w:b/>
        </w:rPr>
        <w:t xml:space="preserve">Ergebnis: </w:t>
      </w:r>
      <w:r>
        <w:t>Mittlerer TDMPAS-Score 48,12 (SD 10,59). Unzufriedenheit mit Arbeitsbedingungen war unabhängig mit höheren defensive-medicine-Scores assoziiert (B=6,62; 95%-KI 4,19–9,05; p&lt;0,001), ebenso frühere Verwaltungsuntersuchungen (B=3,44; 95%-KI 1,37–5,50; p=0,001). Haftungsschulung (B=-2,18; p=0,002) und höhere Berufserfahrung (B=-0,15 pro Jahr; p=0,03) waren protektiv. Modell erklärte 17,6 % der Varianz.</w:t>
      </w:r>
    </w:p>
    <w:p>
      <w:r>
        <w:rPr>
          <w:b/>
          <w:sz w:val="19"/>
        </w:rPr>
        <w:t xml:space="preserve">Übertragbarkeit: </w:t>
      </w:r>
      <w:r>
        <w:rPr>
          <w:sz w:val="19"/>
        </w:rPr>
        <w:t>Türkei, Haftungsklima analog zu DACH, Defensive Medicine ähnlich häufig</w:t>
      </w:r>
    </w:p>
    <w:p>
      <w:r>
        <w:rPr>
          <w:color w:val="5A7D3A"/>
          <w:sz w:val="18"/>
        </w:rPr>
        <w:t>https://pubmed.ncbi.nlm.nih.gov/42814963/</w:t>
      </w:r>
    </w:p>
    <w:p>
      <w:pPr>
        <w:pStyle w:val="Heading2"/>
      </w:pPr>
      <w:r>
        <w:t>Druckgeschwüre als Zwischenfälle: 24 % aller gemeldeten unerwünschten Ereignisse in Spezialkrankenhaus</w:t>
      </w:r>
    </w:p>
    <w:p>
      <w:r>
        <w:rPr>
          <w:i/>
          <w:color w:val="666666"/>
          <w:sz w:val="18"/>
        </w:rPr>
        <w:t>Sowińska IM et al.  ·  PLoS One  ·  30.09.2026  ·  PMID 42814750</w:t>
      </w:r>
    </w:p>
    <w:p>
      <w:r>
        <w:t>Retrospektive Analyse von 1272 gemeldeten unerwünschten Ereignissen (2013–2020) in einem polnischen Spezialkrankenhaus; 305 davon (24 %) waren erworbene Druckgeschwüre.</w:t>
      </w:r>
    </w:p>
    <w:p>
      <w:r>
        <w:rPr>
          <w:b/>
        </w:rPr>
        <w:t xml:space="preserve">Ergebnis: </w:t>
      </w:r>
      <w:r>
        <w:t>Patienten mit Druckgeschwüren hatten signifikant längere Krankenhausaufenthalte (18,64 vs. 12,62 Tage; p &lt; 0,001) und mehr verordnete Medikamente (18,14 vs. 10,43; p &lt; 0,001). Im multivariaten Modell waren höheres Alter, prolongierte Hospitalisierung, höhere Medikamentenzahl und größere Komorbiditätslast unabhängig mit Druckgeschwüren assoziiert. Systematische Überwachung könnte Hochrisikopatienten identifizieren.</w:t>
      </w:r>
    </w:p>
    <w:p>
      <w:r>
        <w:rPr>
          <w:b/>
          <w:sz w:val="19"/>
        </w:rPr>
        <w:t xml:space="preserve">Übertragbarkeit: </w:t>
      </w:r>
      <w:r>
        <w:rPr>
          <w:sz w:val="19"/>
        </w:rPr>
        <w:t>Polen, vergleichbare Meldepflichten für unerwünschte Ereignisse</w:t>
      </w:r>
    </w:p>
    <w:p>
      <w:r>
        <w:rPr>
          <w:color w:val="5A7D3A"/>
          <w:sz w:val="18"/>
        </w:rPr>
        <w:t>https://pubmed.ncbi.nlm.nih.gov/42814750/</w:t>
      </w:r>
    </w:p>
    <w:p>
      <w:pPr>
        <w:pStyle w:val="Heading2"/>
      </w:pPr>
      <w:r>
        <w:t>Verzögerte Notfall-Kaiserschnitte und Fehldiagnosen führten 2025 zu häufigsten Arztfehlerurteilen in Malaysia</w:t>
      </w:r>
    </w:p>
    <w:p>
      <w:r>
        <w:rPr>
          <w:i/>
          <w:color w:val="666666"/>
          <w:sz w:val="18"/>
        </w:rPr>
        <w:t>Zainal Abidin H et al.  ·  Med J Malaysia  ·  Sept. 2026  ·  PMID 42813486</w:t>
      </w:r>
    </w:p>
    <w:p>
      <w:r>
        <w:t>Retrospektive Fallanalyse von 29 Haftungsfällen aus 2025 mit strukturiertem dreistufigem Kodierungsrahmen zur Erfassung von Rechenschaftspflicht und klinischer Governance.</w:t>
      </w:r>
    </w:p>
    <w:p>
      <w:r>
        <w:rPr>
          <w:b/>
        </w:rPr>
        <w:t xml:space="preserve">Ergebnis: </w:t>
      </w:r>
      <w:r>
        <w:t>22 Fälle in High Court, überwiegend öffentliche Krankenhäuser; Orthopädie (n=10), Geburtsmedizin (n=8), andere Chirurgie (n=6). Haftungsauslöser: zeitkritische Verzögerungen (Notfall-Kaiserschnitt, Gefäßbehandlung), Diagnostikversäumnisse (radiologische Untersuchungen, Sepsisverschleppung), unzureichende informed consent, unvollständige Dokumentation. Klinische Hosps wurden für Systemversäumnisse haftbar gemacht (non-delegable duty); Dokumentationsmängel galten als schwerwiegende Aggravation.</w:t>
      </w:r>
    </w:p>
    <w:p>
      <w:r>
        <w:rPr>
          <w:b/>
          <w:sz w:val="19"/>
        </w:rPr>
        <w:t xml:space="preserve">Übertragbarkeit: </w:t>
      </w:r>
      <w:r>
        <w:rPr>
          <w:sz w:val="19"/>
        </w:rPr>
        <w:t>Malaysia, Verschuldenshaftung wie Deutschland, wachsende Systemverantwortlichkeit</w:t>
      </w:r>
    </w:p>
    <w:p>
      <w:r>
        <w:rPr>
          <w:color w:val="5A7D3A"/>
          <w:sz w:val="18"/>
        </w:rPr>
        <w:t>https://pubmed.ncbi.nlm.nih.gov/42813486/</w:t>
      </w:r>
    </w:p>
    <w:p>
      <w:pPr>
        <w:pStyle w:val="Heading2"/>
      </w:pPr>
      <w:r>
        <w:t>Procalcitonin erkannt pädiatrische Sepsis mit mäßiger Genauigkeit – nutzbarer Zusatzmarker</w:t>
      </w:r>
    </w:p>
    <w:p>
      <w:r>
        <w:rPr>
          <w:i/>
          <w:color w:val="666666"/>
          <w:sz w:val="18"/>
        </w:rPr>
        <w:t>Razak SMA et al.  ·  Med J Malaysia  ·  Sept. 2026  ·  PMID 42813484</w:t>
      </w:r>
    </w:p>
    <w:p>
      <w:r>
        <w:t>Retrospektive Studie in malaysischer Tertiärklinik (Juni 2022–Juni 2024); 242 Kinder mit PCT-Test; ROC-Analyse und diagnostische Genauigkeit bei 0,5 ng/mL Cutoff.</w:t>
      </w:r>
    </w:p>
    <w:p>
      <w:r>
        <w:rPr>
          <w:b/>
        </w:rPr>
        <w:t xml:space="preserve">Ergebnis: </w:t>
      </w:r>
      <w:r>
        <w:t>129 (53,3 %) Sepsis-Fälle. Mittlere PCT-Werte höher bei Sepsis (1,940 vs. 0,240 ng/mL; p&lt;0,0001). Bei Cutoff 0,5 ng/mL: Sensitivität 76 %, Spezifität 73,5 %, PPV 76,6 %, NPV 72,8 %, PLR 2,86, NLR 0,33, Diagn. OR 8,75. ROC AUC 0,747 (95%-KI 0,692–0,802). PCT moderat positiv korreliert mit CRP (r=0,546), nicht mit Leukozytenzahl.</w:t>
      </w:r>
    </w:p>
    <w:p>
      <w:r>
        <w:rPr>
          <w:b/>
          <w:sz w:val="19"/>
        </w:rPr>
        <w:t xml:space="preserve">Übertragbarkeit: </w:t>
      </w:r>
      <w:r>
        <w:rPr>
          <w:sz w:val="19"/>
        </w:rPr>
        <w:t>Malaysia, pädiatrische Bevölkerung, PCT als klinisches Adjuvans übertragbar</w:t>
      </w:r>
    </w:p>
    <w:p>
      <w:r>
        <w:rPr>
          <w:color w:val="5A7D3A"/>
          <w:sz w:val="18"/>
        </w:rPr>
        <w:t>https://pubmed.ncbi.nlm.nih.gov/42813484/</w:t>
      </w:r>
    </w:p>
    <w:p>
      <w:pPr>
        <w:pStyle w:val="Heading2"/>
      </w:pPr>
      <w:r>
        <w:t>Magnesiummangel erhöht nosokomiale Spontanperitonitis und Sepsis bei Zirrhose</w:t>
      </w:r>
    </w:p>
    <w:p>
      <w:r>
        <w:rPr>
          <w:i/>
          <w:color w:val="666666"/>
          <w:sz w:val="18"/>
        </w:rPr>
        <w:t>Duan XJ et al.  ·  Front Immunol  ·  15.09.2026  ·  PMID 42812346</w:t>
      </w:r>
    </w:p>
    <w:p>
      <w:r>
        <w:t>Retrospektive Kohortenstudie (n=1110) von Zirrhosepatienten (Mai 2021–Juni 2025) mit Magnesiumspiegeln innerhalb 48 h nach Aufnahme; multivariable Regression und restricted cubic spline-Analyse.</w:t>
      </w:r>
    </w:p>
    <w:p>
      <w:r>
        <w:rPr>
          <w:b/>
        </w:rPr>
        <w:t xml:space="preserve">Ergebnis: </w:t>
      </w:r>
      <w:r>
        <w:t>HA-SBP-Inzidenz 12,25 %, Sepsis 6,06 %. Pro 1-SD Magnesiumeröhung sanken HA-SBP-Risiko um 20,8 % (OR=0,792; 95%-KI 0,642–0,970; p=0,026) und Sepsisrisiko um 35,5 % (OR=0,645; 95%-KI 0,464–0,883; p=0,008). Hypomagnesämie vs. Normomagnesämie: OR für HA-SBP 1,520 (p=0,044), für Sepsis 2,213 (p=0,013). Lineare inverse Beziehung in RCS-Analyse (beide p&gt;0,05). AUC für HA-SBP 0,635, für Sepsis 0,688.</w:t>
      </w:r>
    </w:p>
    <w:p>
      <w:r>
        <w:rPr>
          <w:b/>
          <w:sz w:val="19"/>
        </w:rPr>
        <w:t xml:space="preserve">Übertragbarkeit: </w:t>
      </w:r>
      <w:r>
        <w:rPr>
          <w:sz w:val="19"/>
        </w:rPr>
        <w:t>China, Sepsisrisikofaktor mit messbarem Effekt, Interventionspotenzial</w:t>
      </w:r>
    </w:p>
    <w:p>
      <w:r>
        <w:rPr>
          <w:color w:val="5A7D3A"/>
          <w:sz w:val="18"/>
        </w:rPr>
        <w:t>https://pubmed.ncbi.nlm.nih.gov/42812346/</w:t>
      </w:r>
    </w:p>
    <w:p>
      <w:pPr>
        <w:pStyle w:val="Heading2"/>
      </w:pPr>
      <w:r>
        <w:t>Zinkmangelassoziiert mit höherer Sepsismortalität – Frühaufgriff ermöglicht Intervention</w:t>
      </w:r>
    </w:p>
    <w:p>
      <w:r>
        <w:rPr>
          <w:i/>
          <w:color w:val="666666"/>
          <w:sz w:val="18"/>
        </w:rPr>
        <w:t>Tuan NV et al.  ·  Int J Infect Dis  ·  25.08.2026  ·  PMID 42641939</w:t>
      </w:r>
    </w:p>
    <w:p>
      <w:r>
        <w:t>Prospektive Kohortenstudie (n=120) zu Zinkspiegeln bei Sepsispatienten zwischen Aufnahme und Tag 3; Analysen mit gemischtem Modell und Cox-Regression.</w:t>
      </w:r>
    </w:p>
    <w:p>
      <w:r>
        <w:rPr>
          <w:b/>
        </w:rPr>
        <w:t xml:space="preserve">Ergebnis: </w:t>
      </w:r>
      <w:r>
        <w:t>Patienten, die bis Tag 7 starben, zeigten keine unterschiedlichen Ausgangszinkwerte, aber niedrigere Zinkwerte am Tag 3 (56,05 vs. 68,65 µg/dL; p=0,081) und geringere Zinkzunahme vom Aufnahme- bis Tag 3 (0,80 vs. 15,40 µg/dL; p=0,017). Höhere Zinkwerte am Tag 3 waren mit niedrigerer Mortalität assoziiert (HR pro 10 µg/dL 0,77; 95%-KI 0,60–0,97; p=0,028). Versatz der Zinktrajektor zeichnete signifikant unterschiedliche Kurven nach Ausgang (Interaktion p=0,0022).</w:t>
      </w:r>
    </w:p>
    <w:p>
      <w:r>
        <w:rPr>
          <w:b/>
          <w:sz w:val="19"/>
        </w:rPr>
        <w:t xml:space="preserve">Übertragbarkeit: </w:t>
      </w:r>
      <w:r>
        <w:rPr>
          <w:sz w:val="19"/>
        </w:rPr>
        <w:t>Vietnam mit deutschem Partnerzentrum, messbarer Frühmarker für Sepsisrisiko</w:t>
      </w:r>
    </w:p>
    <w:p>
      <w:r>
        <w:rPr>
          <w:color w:val="5A7D3A"/>
          <w:sz w:val="18"/>
        </w:rPr>
        <w:t>https://pubmed.ncbi.nlm.nih.gov/42641939/</w:t>
      </w:r>
    </w:p>
    <w:p>
      <w:pPr>
        <w:pStyle w:val="Heading1"/>
      </w:pPr>
      <w:r>
        <w:t>Aufgenommen am 30.09.2026</w:t>
      </w:r>
    </w:p>
    <w:p>
      <w:pPr>
        <w:pStyle w:val="Heading2"/>
      </w:pPr>
      <w:r>
        <w:t>Chirurgische Infektionen steigern Behandlungskosten nach Bauchoperationen um 29.600 Euro</w:t>
      </w:r>
    </w:p>
    <w:p>
      <w:r>
        <w:rPr>
          <w:i/>
          <w:color w:val="666666"/>
          <w:sz w:val="18"/>
        </w:rPr>
        <w:t>Bontekoning N et al.  ·  BJS Open  ·  04.09.2026  ·  PMID 42808217</w:t>
      </w:r>
    </w:p>
    <w:p>
      <w:r>
        <w:t>Sekundäranalyse der EPO2CH-Studie mit 1.119 Patienten quantifizierte Kosten und Lebensqualität nach elektiven Bauchoperationen mit Infektionen versus ohne.</w:t>
      </w:r>
    </w:p>
    <w:p>
      <w:r>
        <w:rPr>
          <w:b/>
        </w:rPr>
        <w:t xml:space="preserve">Ergebnis: </w:t>
      </w:r>
      <w:r>
        <w:t>Patienten mit Infektionen: durchschnittliche Kosten 53.562 Euro vs. 23.969 Euro ohne Infektionen (Differenz 29.592 Euro). Qualitätsverlust: 0,171 QALYs vs. 0,205 ohne Infektionen (Differenz -0,035), entsprechend 12,78 Tagen verlorener Gesundheit in 3 Monaten. Anastomoseninsuffizienz mit höchsten Kosten (56.401 Euro mehr).</w:t>
      </w:r>
    </w:p>
    <w:p>
      <w:r>
        <w:rPr>
          <w:b/>
          <w:sz w:val="19"/>
        </w:rPr>
        <w:t xml:space="preserve">Übertragbarkeit: </w:t>
      </w:r>
      <w:r>
        <w:rPr>
          <w:sz w:val="19"/>
        </w:rPr>
        <w:t>Niederländische Klinikdaten, vergleichbares Versicherungssystem</w:t>
      </w:r>
    </w:p>
    <w:p>
      <w:r>
        <w:rPr>
          <w:color w:val="5A7D3A"/>
          <w:sz w:val="18"/>
        </w:rPr>
        <w:t>https://pubmed.ncbi.nlm.nih.gov/42808217/</w:t>
      </w:r>
    </w:p>
    <w:p>
      <w:pPr>
        <w:pStyle w:val="Heading2"/>
      </w:pPr>
      <w:r>
        <w:t>Desinfektion der Reinigungswerkzeuge senkt Pathogenkontamination um 50 Prozent</w:t>
      </w:r>
    </w:p>
    <w:p>
      <w:r>
        <w:rPr>
          <w:i/>
          <w:color w:val="666666"/>
          <w:sz w:val="18"/>
        </w:rPr>
        <w:t>Zhang X et al.  ·  Front Public Health  ·  14.09.2026  ·  PMID 42807511</w:t>
      </w:r>
    </w:p>
    <w:p>
      <w:r>
        <w:t>Querschnittsstudie mit 5.000 Proben von wiederverwendbaren Reinigungswerkzeugen in Shanghaier Krankenhäusern ermittelte Kontaminationsquoten und Effektivität von Desinfektionsmethoden.</w:t>
      </w:r>
    </w:p>
    <w:p>
      <w:r>
        <w:rPr>
          <w:b/>
        </w:rPr>
        <w:t xml:space="preserve">Ergebnis: </w:t>
      </w:r>
      <w:r>
        <w:t>Gesamtkontaminationsquote 7,44%. Werkzeuge ohne routinemäßige Desinfektion: 1,859-fach höheres Infektionsrisiko (OR; 95%-KI 1,283–2,691). Disposable-Desinfektionstücher effektiver als Wischen mit Lappen (p=0,038). Interne Medizin und Chirurgie höheres Risiko als Intensivstation (OR 1,90 bzw. 1,92).</w:t>
      </w:r>
    </w:p>
    <w:p>
      <w:r>
        <w:rPr>
          <w:b/>
          <w:sz w:val="19"/>
        </w:rPr>
        <w:t xml:space="preserve">Übertragbarkeit: </w:t>
      </w:r>
      <w:r>
        <w:rPr>
          <w:sz w:val="19"/>
        </w:rPr>
        <w:t>China, Prinzipien universal, aber lokale Hygienestandards variabel</w:t>
      </w:r>
    </w:p>
    <w:p>
      <w:r>
        <w:rPr>
          <w:color w:val="5A7D3A"/>
          <w:sz w:val="18"/>
        </w:rPr>
        <w:t>https://pubmed.ncbi.nlm.nih.gov/42807511/</w:t>
      </w:r>
    </w:p>
    <w:p>
      <w:pPr>
        <w:pStyle w:val="Heading2"/>
      </w:pPr>
      <w:r>
        <w:t>Infektionsprävention kontrolierte ESBL-Klebsiella-Ausbruch auf Neugeborenen-Station in 2 Monaten</w:t>
      </w:r>
    </w:p>
    <w:p>
      <w:r>
        <w:rPr>
          <w:i/>
          <w:color w:val="666666"/>
          <w:sz w:val="18"/>
        </w:rPr>
        <w:t>Comelli A et al.  ·  Antimicrob Resist Infect Control  ·  29.09.2026  ·  PMID 42806396</w:t>
      </w:r>
    </w:p>
    <w:p>
      <w:r>
        <w:t>Retrospektive Fall-Kontroll-Studie eines Ausbruchs mit 44 bestätigten ESBL-Klebsiella-Fällen in einer Neugeborenen-Intensivstation in Bangui dokumentierte Maßnahmen zur Ausbruchkontrolle.</w:t>
      </w:r>
    </w:p>
    <w:p>
      <w:r>
        <w:rPr>
          <w:b/>
        </w:rPr>
        <w:t xml:space="preserve">Ergebnis: </w:t>
      </w:r>
      <w:r>
        <w:t>Inzidenz 29,7 Fälle pro 1.000 Patiententage. Mortalität in der Infektionsgruppe 3,5-fach höher. Überbelegung &gt;100% und schlechte Infektionsprävention initial. Nach IPC-Interventionen (erste Monatshälfte): Ausbruch in ~2 Monaten kontrolliert. 56,8% frühe Sepsis, maternale Risikofaktoren stärkster unabhängiger Risikofaktor.</w:t>
      </w:r>
    </w:p>
    <w:p>
      <w:r>
        <w:rPr>
          <w:b/>
          <w:sz w:val="19"/>
        </w:rPr>
        <w:t xml:space="preserve">Übertragbarkeit: </w:t>
      </w:r>
      <w:r>
        <w:rPr>
          <w:sz w:val="19"/>
        </w:rPr>
        <w:t>Mittel-Afrika, prinzipien auf Deutschland übertragbar, aber Ressourcenunterschiede erheblich</w:t>
      </w:r>
    </w:p>
    <w:p>
      <w:r>
        <w:rPr>
          <w:color w:val="5A7D3A"/>
          <w:sz w:val="18"/>
        </w:rPr>
        <w:t>https://pubmed.ncbi.nlm.nih.gov/42806396/</w:t>
      </w:r>
    </w:p>
    <w:p>
      <w:pPr>
        <w:pStyle w:val="Heading2"/>
      </w:pPr>
      <w:r>
        <w:t>Mitochondriale Proteine prognostizieren Sepsis-Mortalität: 72-Stunden-Vorhersage möglich</w:t>
      </w:r>
    </w:p>
    <w:p>
      <w:r>
        <w:rPr>
          <w:i/>
          <w:color w:val="666666"/>
          <w:sz w:val="18"/>
        </w:rPr>
        <w:t>Meems CJ et al.  ·  Crit Care  ·  29.08.2026  ·  PMID 42806380</w:t>
      </w:r>
    </w:p>
    <w:p>
      <w:r>
        <w:t>Post-hoc-Analyse der Acutelines-Biobank mit 213 Sepsis-Patienten untersuchte, ob Plasmaprofile mitochondrial-assoziierter Proteine (232 aus 5.416 gemessenen) mit Schweregrad und Kurzzeitausgang verbunden sind.</w:t>
      </w:r>
    </w:p>
    <w:p>
      <w:r>
        <w:rPr>
          <w:b/>
        </w:rPr>
        <w:t xml:space="preserve">Ergebnis: </w:t>
      </w:r>
      <w:r>
        <w:t>Mitochondrial-Protein-Score korrelierte mit Schweregrad (Spearman ρ 0,18–0,29; p&lt;0,01) und schlechteren 72-h-Ergebnissen: Organversagen-freies Überleben OR 0,57 pro Standardabweichung; ICU-Aufnahme OR 1,66; Mortalität OR 2,36. Zwei Cluster identifiziert, aber eher kontinuierliches Spektrum als diskrete Subphänotypen.</w:t>
      </w:r>
    </w:p>
    <w:p>
      <w:r>
        <w:rPr>
          <w:b/>
          <w:sz w:val="19"/>
        </w:rPr>
        <w:t xml:space="preserve">Übertragbarkeit: </w:t>
      </w:r>
      <w:r>
        <w:rPr>
          <w:sz w:val="19"/>
        </w:rPr>
        <w:t>Niederlande, europäisches Gesundheitssystem, methodisch vergleichbar</w:t>
      </w:r>
    </w:p>
    <w:p>
      <w:r>
        <w:rPr>
          <w:color w:val="5A7D3A"/>
          <w:sz w:val="18"/>
        </w:rPr>
        <w:t>https://pubmed.ncbi.nlm.nih.gov/42806380/</w:t>
      </w:r>
    </w:p>
    <w:p>
      <w:pPr>
        <w:pStyle w:val="Heading2"/>
      </w:pPr>
      <w:r>
        <w:t>Bluttransfusion bei krebskranken Sepsis-Patienten: restrictive Strategie nicht unterlegen</w:t>
      </w:r>
    </w:p>
    <w:p>
      <w:r>
        <w:rPr>
          <w:i/>
          <w:color w:val="666666"/>
          <w:sz w:val="18"/>
        </w:rPr>
        <w:t>Pène F et al.  ·  Intensive Care Med  ·  19.08.2026  ·  PMID 42616082</w:t>
      </w:r>
    </w:p>
    <w:p>
      <w:r>
        <w:t>Randomisierte Studie (TRANSPORT) mit 187 Patienten mit Krebs und septischem Schock verglich liberale versus restrictive RBC-Transfusionsstrategie auf Basis Hämoglobin-Schwellenwerte.</w:t>
      </w:r>
    </w:p>
    <w:p>
      <w:r>
        <w:rPr>
          <w:b/>
        </w:rPr>
        <w:t xml:space="preserve">Ergebnis: </w:t>
      </w:r>
      <w:r>
        <w:t>Liberale Gruppe (Hb 9,0): 52% mit 12-h-Laktat-Reduktion. Restrictive Gruppe (Hb 7,0): 50% (OR 1,07; KI 0,60–1,90; p=0,82). Thrombotische Ereignisse liberale: 13% vs. restrictive 1% (p=0,001). 28-Tage-Mortalität 46% vs. 53% (p=0,34). Studie vorzeitig wegen Sicherheitsbedenken gestoppt.</w:t>
      </w:r>
    </w:p>
    <w:p>
      <w:r>
        <w:rPr>
          <w:b/>
          <w:sz w:val="19"/>
        </w:rPr>
        <w:t xml:space="preserve">Übertragbarkeit: </w:t>
      </w:r>
      <w:r>
        <w:rPr>
          <w:sz w:val="19"/>
        </w:rPr>
        <w:t>Frankreich, europäisches Gesundheitssystem, Design übertragbar</w:t>
      </w:r>
    </w:p>
    <w:p>
      <w:r>
        <w:rPr>
          <w:color w:val="5A7D3A"/>
          <w:sz w:val="18"/>
        </w:rPr>
        <w:t>https://pubmed.ncbi.nlm.nih.gov/42616082/</w:t>
      </w:r>
    </w:p>
    <w:p>
      <w:pPr>
        <w:pStyle w:val="Heading2"/>
      </w:pPr>
      <w:r>
        <w:t>Pandemie änderte Sterberisiko viraler Sepsis: französische ICU-Kohortenstudie</w:t>
      </w:r>
    </w:p>
    <w:p>
      <w:r>
        <w:rPr>
          <w:i/>
          <w:color w:val="666666"/>
          <w:sz w:val="18"/>
        </w:rPr>
        <w:t>Al Rahmoun M et al.  ·  Int J Infect Dis  ·  16.08.2026  ·  PMID 42604654</w:t>
      </w:r>
    </w:p>
    <w:p>
      <w:r>
        <w:t>Analyse von 604.517 Patienten auf französischen Intensivstationen zeigte, dass COVID-19-Pandemie die Mortalitätsassoziation zwischen viraler und bakterieller Sepsis umkehrte.</w:t>
      </w:r>
    </w:p>
    <w:p>
      <w:r>
        <w:rPr>
          <w:b/>
        </w:rPr>
        <w:t xml:space="preserve">Ergebnis: </w:t>
      </w:r>
      <w:r>
        <w:t>Präpandemisch: virale Sepsis mit reduzierter In-Hospital-Mortalität vs. bakterieller Sepsis (aOR 0,63 bis 0,67). Während Pandemie: virale Sepsis (überwiegend COVID-19) mit erhöhter Mortalität (aOR 1,41 mit Koinfektionen). Gesamtmortalität stationär 29,2%, 90-Tage-Mortalität 34,0%.</w:t>
      </w:r>
    </w:p>
    <w:p>
      <w:r>
        <w:rPr>
          <w:b/>
          <w:sz w:val="19"/>
        </w:rPr>
        <w:t xml:space="preserve">Übertragbarkeit: </w:t>
      </w:r>
      <w:r>
        <w:rPr>
          <w:sz w:val="19"/>
        </w:rPr>
        <w:t>Französische Kohortendaten, europäisches Gesundheitssystem, direkt übertragbar</w:t>
      </w:r>
    </w:p>
    <w:p>
      <w:r>
        <w:rPr>
          <w:color w:val="5A7D3A"/>
          <w:sz w:val="18"/>
        </w:rPr>
        <w:t>https://pubmed.ncbi.nlm.nih.gov/42604654/</w:t>
      </w:r>
    </w:p>
    <w:p>
      <w:pPr>
        <w:pStyle w:val="Heading1"/>
      </w:pPr>
      <w:r>
        <w:t>Aufgenommen am 29.09.2026</w:t>
      </w:r>
    </w:p>
    <w:p>
      <w:pPr>
        <w:pStyle w:val="Heading2"/>
      </w:pPr>
      <w:r>
        <w:t>Invasive Geräte und Zimmerbelegung mit CRE-Patienten verdoppeln Kolonisierungsrisiko in Langzeitpflege</w:t>
      </w:r>
    </w:p>
    <w:p>
      <w:r>
        <w:rPr>
          <w:i/>
          <w:color w:val="666666"/>
          <w:sz w:val="18"/>
        </w:rPr>
        <w:t>Hwang H et al.  ·  PLoS One  ·  28.09.2026  ·  PMID 42804487</w:t>
      </w:r>
    </w:p>
    <w:p>
      <w:r>
        <w:t>Prospektive aktive Überwachungsstudie an 140 Patienten in 4 südkoreanischen Langzeitkrankenhäusern (Nov. 2023 – Dez. 2024): Asymptomatic-CRE-Kolonisierungsprävalenz und Akquisitionsrisiken wurden untersucht.</w:t>
      </w:r>
    </w:p>
    <w:p>
      <w:r>
        <w:rPr>
          <w:b/>
        </w:rPr>
        <w:t xml:space="preserve">Ergebnis: </w:t>
      </w:r>
      <w:r>
        <w:t>Gesamtprävalenz: 24,3% (34/140); bei Neuzuweisungen 30,8%, bei Dauerpatienten 21,8%. Unter initial negativen Patienten: 8,6% erwarben CRE während Aufenthalt. Cox-Regression: invasive Geräte im letzten Jahr HR 9,83; vorherige Zimmerbelegung mit CRE-Positiven HR 5,01. KPC dominant (80%). Die Studie zeigt: Standardprecautions und zeitnahes Cohorting essentiell.</w:t>
      </w:r>
    </w:p>
    <w:p>
      <w:r>
        <w:rPr>
          <w:b/>
          <w:sz w:val="19"/>
        </w:rPr>
        <w:t xml:space="preserve">Übertragbarkeit: </w:t>
      </w:r>
      <w:r>
        <w:rPr>
          <w:sz w:val="19"/>
        </w:rPr>
        <w:t>Südkorea, vergleichbare Struktur langer Betreuung</w:t>
      </w:r>
    </w:p>
    <w:p>
      <w:r>
        <w:rPr>
          <w:color w:val="5A7D3A"/>
          <w:sz w:val="18"/>
        </w:rPr>
        <w:t>https://pubmed.ncbi.nlm.nih.gov/42804487/</w:t>
      </w:r>
    </w:p>
    <w:p>
      <w:pPr>
        <w:pStyle w:val="Heading2"/>
      </w:pPr>
      <w:r>
        <w:t>Frühzeitige hämodynamische Reaktion auf Dobutamin senkt Sepsissterblichkeit</w:t>
      </w:r>
    </w:p>
    <w:p>
      <w:r>
        <w:rPr>
          <w:i/>
          <w:color w:val="666666"/>
          <w:sz w:val="18"/>
        </w:rPr>
        <w:t>Tarbaghia M et al.  ·  Crit Care Explor  ·  01.10.2026  ·  PMID 42804358</w:t>
      </w:r>
    </w:p>
    <w:p>
      <w:r>
        <w:t>Retrospektive Kohortenstudie von 104 Patienten mit septischem Schock und Myokarddysfunktion: Hämodynamische Ansprechbarkeit auf Dobutamin (Steigerung der zentralvenösen O2-Sättigung um ≥5 Prozentpunkte plus Reduktion der Noradrenalin-Äquivalentdosis) wurde nach 2 Stunden definiert und mit 28-Tage-ICU-Mortalität verglichen.</w:t>
      </w:r>
    </w:p>
    <w:p>
      <w:r>
        <w:rPr>
          <w:b/>
        </w:rPr>
        <w:t xml:space="preserve">Ergebnis: </w:t>
      </w:r>
      <w:r>
        <w:t>37 Patienten (36%) waren Responder. Nach multivariater Anpassung war hämodynamische Response mit niedrigerer 28-Tage-ICU-Mortalität assoziiert (OR 0,18; 95%-KI 0,04–0,68; p=0,018): 41% Responder vs. 58% Non-Responder. Responder hatten mehr ICU-freie Tage (17 vs. 0). Baseline-Echokardiographieparameter identifizierten Responder nicht.</w:t>
      </w:r>
    </w:p>
    <w:p>
      <w:r>
        <w:rPr>
          <w:b/>
          <w:sz w:val="19"/>
        </w:rPr>
        <w:t xml:space="preserve">Übertragbarkeit: </w:t>
      </w:r>
      <w:r>
        <w:rPr>
          <w:sz w:val="19"/>
        </w:rPr>
        <w:t>USA; Sicherheitsbefund und Outcome-Hierarchie sind übertragbar</w:t>
      </w:r>
    </w:p>
    <w:p>
      <w:r>
        <w:rPr>
          <w:color w:val="5A7D3A"/>
          <w:sz w:val="18"/>
        </w:rPr>
        <w:t>https://pubmed.ncbi.nlm.nih.gov/42804358/</w:t>
      </w:r>
    </w:p>
    <w:p>
      <w:pPr>
        <w:pStyle w:val="Heading2"/>
      </w:pPr>
      <w:r>
        <w:t>Prehospital Fieber und gastrointestinale Symptome beeinflussen Antibiotikatiming bei Sepsis</w:t>
      </w:r>
    </w:p>
    <w:p>
      <w:r>
        <w:rPr>
          <w:i/>
          <w:color w:val="666666"/>
          <w:sz w:val="18"/>
        </w:rPr>
        <w:t>Conlon A et al.  ·  JAMA Netw Open  ·  01.09.2026  ·  PMID 42804206</w:t>
      </w:r>
    </w:p>
    <w:p>
      <w:r>
        <w:t>Kohortenstudie an 29.647 Patienten mit vermuteter bakterieller Sepsis: Präsentation mit Fieber erhöhte die Quote zeitiger Antibiotikagabe (≤3h bei Hypotonie, ≤5h ohne), gastrointestinale Symptome senkten sie; zeitige Antibiotika verbesserten 28-Tage-Mortalität auch nach Anpassung für Symptome.</w:t>
      </w:r>
    </w:p>
    <w:p>
      <w:r>
        <w:rPr>
          <w:b/>
        </w:rPr>
        <w:t xml:space="preserve">Ergebnis: </w:t>
      </w:r>
      <w:r>
        <w:t>Unter 6.704 Patienten mit Hypotonie erhielten 65,8% zeitig Antibiotika (innerhalb 3h); unter 22.942 ohne Hypotonie 76,5% (innerhalb 5h). Fieber war mit erhöhten Chancen zeitiger Antibiotika assoziiert (mit Hypotonie: aOR 1,34; ohne: aOR 1,26), gastrointestinale Symptome mit erniedrigten (aOR 0,84 bzw. 0,80). Zeitige Antibiotika: adjustierte absolute Mortalitätsdifferenz −2,10 Prozentpunkte. Die Studie zeigt: Klinische Präsentation steuert Erkennungsgeschwindigkeit, zeitige Therapie bleibt assoziiert mit besseren Outcomes.</w:t>
      </w:r>
    </w:p>
    <w:p>
      <w:r>
        <w:rPr>
          <w:b/>
          <w:sz w:val="19"/>
        </w:rPr>
        <w:t xml:space="preserve">Übertragbarkeit: </w:t>
      </w:r>
      <w:r>
        <w:rPr>
          <w:sz w:val="19"/>
        </w:rPr>
        <w:t>USA, Kohortendaten; nur Sicherheitsbefund ist übertragbar</w:t>
      </w:r>
    </w:p>
    <w:p>
      <w:r>
        <w:rPr>
          <w:color w:val="5A7D3A"/>
          <w:sz w:val="18"/>
        </w:rPr>
        <w:t>https://pubmed.ncbi.nlm.nih.gov/42804206/</w:t>
      </w:r>
    </w:p>
    <w:p>
      <w:pPr>
        <w:pStyle w:val="Heading2"/>
      </w:pPr>
      <w:r>
        <w:t>Systemischer Immun-Inflammations-Index senkt Antibiotikatage bei Neugeborenen-Sepsis um ein Drittel</w:t>
      </w:r>
    </w:p>
    <w:p>
      <w:r>
        <w:rPr>
          <w:i/>
          <w:color w:val="666666"/>
          <w:sz w:val="18"/>
        </w:rPr>
        <w:t>Gök ÇC et al.  ·  Eur J Pediatr  ·  28.09.2026  ·  PMID 42804011</w:t>
      </w:r>
    </w:p>
    <w:p>
      <w:r>
        <w:t>Retrospektive Kohortenstudie von 275 Neugeborenen (85 mit Blutkulturbewiesener früher Sepsis, 190 Kontrollen): SII als Marker für therapeutische Ansprechbarkeit und Antibiotic-Stewardship-Potenzial wurde bewertet.</w:t>
      </w:r>
    </w:p>
    <w:p>
      <w:r>
        <w:rPr>
          <w:b/>
        </w:rPr>
        <w:t xml:space="preserve">Ergebnis: </w:t>
      </w:r>
      <w:r>
        <w:t>Bei Diagnose: SII in Sepsisgruppe 812 (IQR 650–1120) vs. 515 (410–630) in Kontrollen; p&lt;0,001; AUC 0,87. Am Tag 3 zeigte SII schnellere Abnahme als CRP in 74,1% der Sepsisfälle. SII könnte schnell-Responder früh erkennen und sicher verkürzte Antibiotika-Kurse lenken – Unterschied zur tradierten CRP-Kinetik erheblich.</w:t>
      </w:r>
    </w:p>
    <w:p>
      <w:r>
        <w:rPr>
          <w:b/>
          <w:sz w:val="19"/>
        </w:rPr>
        <w:t xml:space="preserve">Übertragbarkeit: </w:t>
      </w:r>
      <w:r>
        <w:rPr>
          <w:sz w:val="19"/>
        </w:rPr>
        <w:t>Türkei; Sepsismarker sind länderübergreifend vergleichbar</w:t>
      </w:r>
    </w:p>
    <w:p>
      <w:r>
        <w:rPr>
          <w:color w:val="5A7D3A"/>
          <w:sz w:val="18"/>
        </w:rPr>
        <w:t>https://pubmed.ncbi.nlm.nih.gov/42804011/</w:t>
      </w:r>
    </w:p>
    <w:p>
      <w:pPr>
        <w:pStyle w:val="Heading2"/>
      </w:pPr>
      <w:r>
        <w:t>Scoring-Modell identifiziert Risiko für Endoskop-Reprocessing-Fehler mit 78% Spezifität</w:t>
      </w:r>
    </w:p>
    <w:p>
      <w:r>
        <w:rPr>
          <w:i/>
          <w:color w:val="666666"/>
          <w:sz w:val="18"/>
        </w:rPr>
        <w:t>Fang L et al.  ·  J Int Med Res  ·  28.09.2026  ·  PMID 42803735</w:t>
      </w:r>
    </w:p>
    <w:p>
      <w:r>
        <w:t>Retrospektive Observationsstudie an 2.744 Gastroskopie-Reprocessing-Zyklen in 3 chinesischen Zentren (Jan.–Dez. 2025): Ein Risikomodell wurde zur Vorhersage von Reprocessing-Fehlern entwickelt und intern validiert.</w:t>
      </w:r>
    </w:p>
    <w:p>
      <w:r>
        <w:rPr>
          <w:b/>
        </w:rPr>
        <w:t xml:space="preserve">Ergebnis: </w:t>
      </w:r>
      <w:r>
        <w:t>24,85% Fehlerquote (682/2.744). Sechs unabhängige Prädiktoren: Personal, Wascher-Desinfektor-Typ, Zubehör-Nutzungshäufigkeit, Reparaturvorgeschichte, Zeit bis Reprocessing, Personalalter. Scoring-Bereich −2 bis 18; AUC 0,834 (95%-KI 0,804–0,864) in Validierung. Bei Cutoff ≥10: Sensitivität 0,725, Spezifität 0,808, NPV 0,899. Praktisches System zur Früherkennung risikobehafteter Prozesse.</w:t>
      </w:r>
    </w:p>
    <w:p>
      <w:r>
        <w:rPr>
          <w:b/>
          <w:sz w:val="19"/>
        </w:rPr>
        <w:t xml:space="preserve">Übertragbarkeit: </w:t>
      </w:r>
      <w:r>
        <w:rPr>
          <w:sz w:val="19"/>
        </w:rPr>
        <w:t>China; externe Validierung notwendig</w:t>
      </w:r>
    </w:p>
    <w:p>
      <w:r>
        <w:rPr>
          <w:color w:val="5A7D3A"/>
          <w:sz w:val="18"/>
        </w:rPr>
        <w:t>https://pubmed.ncbi.nlm.nih.gov/42803735/</w:t>
      </w:r>
    </w:p>
    <w:p>
      <w:pPr>
        <w:pStyle w:val="Heading2"/>
      </w:pPr>
      <w:r>
        <w:t>Risikoscores für Tuberkulose-Medikamentennebenwirkungen zeigen moderate Diskriminierung, aber hohe Bias</w:t>
      </w:r>
    </w:p>
    <w:p>
      <w:r>
        <w:rPr>
          <w:i/>
          <w:color w:val="666666"/>
          <w:sz w:val="18"/>
        </w:rPr>
        <w:t>Li H et al.  ·  Front Public Health  ·  11.09.2026  ·  PMID 42798580</w:t>
      </w:r>
    </w:p>
    <w:p>
      <w:r>
        <w:t>Systematische Übersicht und Metaanalyse von 26 Studien (31 Modelle, n≈41.734) zu Vorhersagemodellen für medikamenteninduzierte Leberschädigung unter Anti-TB-Therapie in Ostasien: Validierung, Bias und Diskriminationsfähigkeit wurden bewertet.</w:t>
      </w:r>
    </w:p>
    <w:p>
      <w:r>
        <w:rPr>
          <w:b/>
        </w:rPr>
        <w:t xml:space="preserve">Ergebnis: </w:t>
      </w:r>
      <w:r>
        <w:t>Gepoolte AUC=0,81 (0,624–1,0 im Einzelnen). Nur eine Studie mit niedrigem Bias-Risiko; alle anderen mit hohem Risiko wegen fehlerhafter Datenbehandlung und univariater Prädiktorenauswahl. Risikofaktoren (p&lt;0,05): Lebererkrankungen, extrapulmonale TB, Alter ≥60, Alkohol, Komorbiditäten, Rückfallbehandlung, erhöhte AST, Diabetes, Rauchen. Uric acid inverse assoziiert. Hepatoprotektive Mittel zeigten keine Wirkung.</w:t>
      </w:r>
    </w:p>
    <w:p>
      <w:r>
        <w:rPr>
          <w:b/>
          <w:sz w:val="19"/>
        </w:rPr>
        <w:t xml:space="preserve">Übertragbarkeit: </w:t>
      </w:r>
      <w:r>
        <w:rPr>
          <w:sz w:val="19"/>
        </w:rPr>
        <w:t>Ostasien; methodische Schwächen begrenzen Anwendbarkeit</w:t>
      </w:r>
    </w:p>
    <w:p>
      <w:r>
        <w:rPr>
          <w:color w:val="5A7D3A"/>
          <w:sz w:val="18"/>
        </w:rPr>
        <w:t>https://pubmed.ncbi.nlm.nih.gov/42798580/</w:t>
      </w:r>
    </w:p>
    <w:p>
      <w:pPr>
        <w:pStyle w:val="Heading2"/>
      </w:pPr>
      <w:r>
        <w:t>Candida-parapsilosis-Fungämien auf Intensivstationen: resistenzabhängig höhere Sterblichkeit, keine schnellere Therapie hilft</w:t>
      </w:r>
    </w:p>
    <w:p>
      <w:r>
        <w:rPr>
          <w:i/>
          <w:color w:val="666666"/>
          <w:sz w:val="18"/>
        </w:rPr>
        <w:t>Katsiari M et al.  ·  Pathogens  ·  13.07.2026  ·  PMID 42515061</w:t>
      </w:r>
    </w:p>
    <w:p>
      <w:r>
        <w:t>Retrospektive Observationsstudie von 90 ICU-Patienten mit Candidämie (Athen, Griechenland): Speziesverteilung, Fluconazol-Resistenzen und Mortalitätsassoziationen wurden über ein Jahrzehnt verfolgt.</w:t>
      </w:r>
    </w:p>
    <w:p>
      <w:r>
        <w:rPr>
          <w:b/>
        </w:rPr>
        <w:t xml:space="preserve">Ergebnis: </w:t>
      </w:r>
      <w:r>
        <w:t>C. parapsilosis 33,7% (41,9% fluconazol-resistent), C. albicans 31,5%, C. auris 23,9%. Non-albicans-Bacteraemia trat später auf, mit niedrigerer Severity, aber fünffacher Vortherapie mit Antimykotika. Gesamtmortalität 53,3%; kein signifikanter Art-Unterschied. Weder prompte Therapie noch Antimykotikaklasse waren mit besserer Überlebenschance assoziiert. Mangelnde Effektivität therapeutischer Timing-Strategien.</w:t>
      </w:r>
    </w:p>
    <w:p>
      <w:r>
        <w:rPr>
          <w:b/>
          <w:sz w:val="19"/>
        </w:rPr>
        <w:t xml:space="preserve">Übertragbarkeit: </w:t>
      </w:r>
      <w:r>
        <w:rPr>
          <w:sz w:val="19"/>
        </w:rPr>
        <w:t>Griechenland (Europa); comparable ICU-Praxis</w:t>
      </w:r>
    </w:p>
    <w:p>
      <w:r>
        <w:rPr>
          <w:color w:val="5A7D3A"/>
          <w:sz w:val="18"/>
        </w:rPr>
        <w:t>https://pubmed.ncbi.nlm.nih.gov/42515061/</w:t>
      </w:r>
    </w:p>
    <w:p>
      <w:pPr>
        <w:pStyle w:val="Heading1"/>
      </w:pPr>
      <w:r>
        <w:t>Aufgenommen am 28.09.2026</w:t>
      </w:r>
    </w:p>
    <w:p>
      <w:pPr>
        <w:pStyle w:val="Heading2"/>
      </w:pPr>
      <w:r>
        <w:t>Unangemessene Empirikatherapie bei Blutvergiftung: Muster und vermeidbare Fehler</w:t>
      </w:r>
    </w:p>
    <w:p>
      <w:r>
        <w:rPr>
          <w:i/>
          <w:color w:val="666666"/>
          <w:sz w:val="18"/>
        </w:rPr>
        <w:t>Komori A et al.  ·  Medicine (Baltimore)  ·  25.09.2026  ·  PMID 42798086</w:t>
      </w:r>
    </w:p>
    <w:p>
      <w:r>
        <w:t>Retrospektive Analyse von Sepsispatienten in der Notaufnahme, die Antibiotika vor Kulturbefund erhielten, aber gegen den später isolierten Erreger unwirksam waren.</w:t>
      </w:r>
    </w:p>
    <w:p>
      <w:r>
        <w:rPr>
          <w:b/>
        </w:rPr>
        <w:t xml:space="preserve">Ergebnis: </w:t>
      </w:r>
      <w:r>
        <w:t>Von 118 Bacterämiepatienten erhielten 11 (9,3%) mikrobiologisch unangemessene Initialtherapie. Hauptursachen: Extended-Spectrum-β-Lactamase-Enterobakterien trotz richtiger Fokusdiagnose (mehrheitlich) oder Fehlidentifikation des Infektionsfokus. Mortalität höher bei falscher Fokusdiagnose.</w:t>
      </w:r>
    </w:p>
    <w:p>
      <w:r>
        <w:rPr>
          <w:b/>
          <w:sz w:val="19"/>
        </w:rPr>
        <w:t xml:space="preserve">Übertragbarkeit: </w:t>
      </w:r>
      <w:r>
        <w:rPr>
          <w:sz w:val="19"/>
        </w:rPr>
        <w:t>Japan-Studie, aber Befund zur Source-Kontrol und Stewardship übertragbar auf deutsche Notaufnahmen.</w:t>
      </w:r>
    </w:p>
    <w:p>
      <w:r>
        <w:rPr>
          <w:color w:val="5A7D3A"/>
          <w:sz w:val="18"/>
        </w:rPr>
        <w:t>https://pubmed.ncbi.nlm.nih.gov/42798086/</w:t>
      </w:r>
    </w:p>
    <w:p>
      <w:pPr>
        <w:pStyle w:val="Heading2"/>
      </w:pPr>
      <w:r>
        <w:t>Bakterielle Kontamination von Skalpellen und Instrumenten: Schaden ohne Folgen im Operationssaal</w:t>
      </w:r>
    </w:p>
    <w:p>
      <w:r>
        <w:rPr>
          <w:i/>
          <w:color w:val="666666"/>
          <w:sz w:val="18"/>
        </w:rPr>
        <w:t>Liang GH et al.  ·  Medicine (Baltimore)  ·  25.09.2026  ·  PMID 42798037</w:t>
      </w:r>
    </w:p>
    <w:p>
      <w:r>
        <w:t>Prospektive Studie zur Häufigkeit und Art intraoperativer bakterieller Kontamination bei Gelenkersatzoperationen und deren Bezug zu postoperativen Infektionen.</w:t>
      </w:r>
    </w:p>
    <w:p>
      <w:r>
        <w:rPr>
          <w:b/>
        </w:rPr>
        <w:t xml:space="preserve">Ergebnis: </w:t>
      </w:r>
      <w:r>
        <w:t>13 von 127 Patienten (10,2%) hatten mindestens eine positive Bakterienkultur von OP-Instrumenten (Skalpell Inzision 5,9%, Kontrolle 1,7%). Kein Unterschied in Patientencharakteristika zwischen kontaminiert und nicht-kontaminiert. In 24–38 Monaten Follow-up: null postoperative Infektionen, null periprosthetische Gelenkinfektionen. Kontamination ≠ klinische Infektion.</w:t>
      </w:r>
    </w:p>
    <w:p>
      <w:r>
        <w:rPr>
          <w:b/>
          <w:sz w:val="19"/>
        </w:rPr>
        <w:t xml:space="preserve">Übertragbarkeit: </w:t>
      </w:r>
      <w:r>
        <w:rPr>
          <w:sz w:val="19"/>
        </w:rPr>
        <w:t>China-Studie, Standardhygiene vergleichbar mit deutschem System, Surveillance-Meldepflicht.</w:t>
      </w:r>
    </w:p>
    <w:p>
      <w:r>
        <w:rPr>
          <w:color w:val="5A7D3A"/>
          <w:sz w:val="18"/>
        </w:rPr>
        <w:t>https://pubmed.ncbi.nlm.nih.gov/42798037/</w:t>
      </w:r>
    </w:p>
    <w:p>
      <w:pPr>
        <w:pStyle w:val="Heading2"/>
      </w:pPr>
      <w:r>
        <w:t>Ralstonia-Ausbruch auf Neonatologie: Kontaminiertes Wasser als vermeidbarer Schaden</w:t>
      </w:r>
    </w:p>
    <w:p>
      <w:r>
        <w:rPr>
          <w:i/>
          <w:color w:val="666666"/>
          <w:sz w:val="18"/>
        </w:rPr>
        <w:t>Uygun SS et al.  ·  Pathogens  ·  08.09.2026  ·  PMID 42796721</w:t>
      </w:r>
    </w:p>
    <w:p>
      <w:r>
        <w:t>Ausbruchuntersuchung nosokomialer Ralstonia-pickettii-Infektionen bei Neugeborenen, deren Quelle kontaminiertes steriles destilliertes Wasser war.</w:t>
      </w:r>
    </w:p>
    <w:p>
      <w:r>
        <w:rPr>
          <w:b/>
        </w:rPr>
        <w:t xml:space="preserve">Ergebnis: </w:t>
      </w:r>
      <w:r>
        <w:t>9 infizierte Neugeborene über 22 Monate, Mortalität 44,4%, davon 11,1% direkt zurechenbar. Nach Wasserwechsel und Infektionskontrollmaßnahmen keine weiteren Fälle. AP-PCR bestätigte genetische Verwandtschaft klinischer und Umweltproben.</w:t>
      </w:r>
    </w:p>
    <w:p>
      <w:r>
        <w:rPr>
          <w:b/>
          <w:sz w:val="19"/>
        </w:rPr>
        <w:t xml:space="preserve">Übertragbarkeit: </w:t>
      </w:r>
      <w:r>
        <w:rPr>
          <w:sz w:val="19"/>
        </w:rPr>
        <w:t>Deutschland: Vergleichbares Hygienemanagementsystem, Infektionsschutzgesetz mit Ausbruchsmeldepflicht.</w:t>
      </w:r>
    </w:p>
    <w:p>
      <w:r>
        <w:rPr>
          <w:color w:val="5A7D3A"/>
          <w:sz w:val="18"/>
        </w:rPr>
        <w:t>https://pubmed.ncbi.nlm.nih.gov/42796721/</w:t>
      </w:r>
    </w:p>
    <w:p>
      <w:pPr>
        <w:pStyle w:val="Heading2"/>
      </w:pPr>
      <w:r>
        <w:t>Sicherheitskultur in der Infektionskontrolle: Editorial ohne Studiendaten</w:t>
      </w:r>
    </w:p>
    <w:p>
      <w:r>
        <w:rPr>
          <w:i/>
          <w:color w:val="666666"/>
          <w:sz w:val="18"/>
        </w:rPr>
        <w:t>Azoicăi D et al.  ·  Medicina (Kaunas)  ·  06.09.2026  ·  PMID 42796314</w:t>
      </w:r>
    </w:p>
    <w:p>
      <w:r>
        <w:t>Redaktioneller Kommentar zur WHO-Warnung vor Eskalation von Infektionsrisiken und Antimikrobielles Stewardship, ohne Studienergebnisse.</w:t>
      </w:r>
    </w:p>
    <w:p>
      <w:r>
        <w:rPr>
          <w:b/>
        </w:rPr>
        <w:t xml:space="preserve">Ergebnis: </w:t>
      </w:r>
      <w:r>
        <w:t>Keine konkreten Ergebnisse, nur Warnung vor neu auftretenden und erneut auftretenden Infektionskrankheiten.</w:t>
      </w:r>
    </w:p>
    <w:p>
      <w:r>
        <w:rPr>
          <w:b/>
          <w:sz w:val="19"/>
        </w:rPr>
        <w:t xml:space="preserve">Übertragbarkeit: </w:t>
      </w:r>
      <w:r>
        <w:rPr>
          <w:sz w:val="19"/>
        </w:rPr>
        <w:t>Nicht qualifizierend: Expertenpapier ohne benennbare Ergebnisse.</w:t>
      </w:r>
    </w:p>
    <w:p>
      <w:r>
        <w:rPr>
          <w:color w:val="5A7D3A"/>
          <w:sz w:val="18"/>
        </w:rPr>
        <w:t>https://pubmed.ncbi.nlm.nih.gov/42796314/</w:t>
      </w:r>
    </w:p>
    <w:p>
      <w:pPr>
        <w:pStyle w:val="Heading2"/>
      </w:pPr>
      <w:r>
        <w:t>Mundhygiene und Handwaschen bei Adoleszenten: Verhaltensunterschiede nach Geschlecht und Einkommen</w:t>
      </w:r>
    </w:p>
    <w:p>
      <w:r>
        <w:rPr>
          <w:i/>
          <w:color w:val="666666"/>
          <w:sz w:val="18"/>
        </w:rPr>
        <w:t>Huang Z et al.  ·  Front Public Health  ·  10.09.2026  ·  PMID 42787371</w:t>
      </w:r>
    </w:p>
    <w:p>
      <w:r>
        <w:t>Querschnittsstudie aus 72 Ländern mit 244.040 Schülern (Global School-based Student Health Survey 2010–2019): Unterschiede in Zahnpflege und Händewaschen nach Geschlecht, Alter, Region und Einkommensniveau.</w:t>
      </w:r>
    </w:p>
    <w:p>
      <w:r>
        <w:rPr>
          <w:b/>
        </w:rPr>
        <w:t xml:space="preserve">Ergebnis: </w:t>
      </w:r>
      <w:r>
        <w:t>Zähneputzen &lt;1×/Tag: 10,9% (95%-KI 10,0–11,8), ≥2×/Tag: 70,5%. Nie/selten Hände vor Essen waschen: 6,5%, nach Toilette: 5,5%, ohne Seife: 9,0%. Jungen schlechter (z.B. &lt;1×/Tag putzen: 13,1% vs. Mädchen 8,6%). Ostmittelmeerregion höchste Prävalenz unzureichenden Zähnebürstens (30,7%). Einkommungradient für Zähneputzen (arm 12,5% → reich 4,4%), nicht für Händewaschen.</w:t>
      </w:r>
    </w:p>
    <w:p>
      <w:r>
        <w:rPr>
          <w:b/>
          <w:sz w:val="19"/>
        </w:rPr>
        <w:t xml:space="preserve">Übertragbarkeit: </w:t>
      </w:r>
      <w:r>
        <w:rPr>
          <w:sz w:val="19"/>
        </w:rPr>
        <w:t>72-Länder-Daten, aber Hygiene-Outcomes nicht auf nosokominale Infektionen, Schaden oder Versorgungsfehler bezogen.</w:t>
      </w:r>
    </w:p>
    <w:p>
      <w:r>
        <w:rPr>
          <w:color w:val="5A7D3A"/>
          <w:sz w:val="18"/>
        </w:rPr>
        <w:t>https://pubmed.ncbi.nlm.nih.gov/42787371/</w:t>
      </w:r>
    </w:p>
    <w:p>
      <w:pPr>
        <w:pStyle w:val="Heading2"/>
      </w:pPr>
      <w:r>
        <w:t>TNF-α-Test für Sepsiserkennung in der Notaufnahme: niedriges Vorhersagevermögen bleibt unsicher</w:t>
      </w:r>
    </w:p>
    <w:p>
      <w:r>
        <w:rPr>
          <w:i/>
          <w:color w:val="666666"/>
          <w:sz w:val="18"/>
        </w:rPr>
        <w:t>Cisteró B et al.  ·  Front Immunol  ·  10.09.2026  ·  PMID 42787037</w:t>
      </w:r>
    </w:p>
    <w:p>
      <w:r>
        <w:t>Prospektive Kohortenstudie: Bluttests auf Lipopolysaccharid-induzierte TNF-α-Freisetzung bei Notaufnahmepatienten mit Verdacht auf Infektion zur frühen Sepsis-Erkennung.</w:t>
      </w:r>
    </w:p>
    <w:p>
      <w:r>
        <w:rPr>
          <w:b/>
        </w:rPr>
        <w:t xml:space="preserve">Ergebnis: </w:t>
      </w:r>
      <w:r>
        <w:t>203 Patienten, 142 mit Sepsis-3 in 24 h diagnostiziert. Negative Tests in 75% häufig. Test-Sensitivität 78,9% (95%-KI 71,4–84,8), Spezifität 39,5% (95%-KI 25,6–55,3) für Sepsis-3. Nach Anpassung für Alter und qSOFA: OR 2,94 (95%-KI 1,28–6,75, p=0,011). Autoren beurteilen Test als ergänzend, nicht eigenständig aussagekräftig.</w:t>
      </w:r>
    </w:p>
    <w:p>
      <w:r>
        <w:rPr>
          <w:b/>
          <w:sz w:val="19"/>
        </w:rPr>
        <w:t xml:space="preserve">Übertragbarkeit: </w:t>
      </w:r>
      <w:r>
        <w:rPr>
          <w:sz w:val="19"/>
        </w:rPr>
        <w:t>Spanien: Notaufnahme-Setting vergleichbar, aber externe Validierung ausstehend.</w:t>
      </w:r>
    </w:p>
    <w:p>
      <w:r>
        <w:rPr>
          <w:color w:val="5A7D3A"/>
          <w:sz w:val="18"/>
        </w:rPr>
        <w:t>https://pubmed.ncbi.nlm.nih.gov/42787037/</w:t>
      </w:r>
    </w:p>
    <w:p>
      <w:pPr>
        <w:pStyle w:val="Heading2"/>
      </w:pPr>
      <w:r>
        <w:t>Rotschimmel-Supplements: seltene Nebenwirkungen, aber niedriges Meldesystem</w:t>
      </w:r>
    </w:p>
    <w:p>
      <w:r>
        <w:rPr>
          <w:i/>
          <w:color w:val="666666"/>
          <w:sz w:val="18"/>
        </w:rPr>
        <w:t>Cicero AFG et al.  ·  Nutrients  ·  14.07.2026  ·  PMID 42514371</w:t>
      </w:r>
    </w:p>
    <w:p>
      <w:r>
        <w:t>Strukturiertes europäisches Spontan-Meldesystem für Nebenwirkungen von Nahrungsergänzungsmitteln aus Rotem Schimmel bei leichter bis mäßiger Hypercholesterinämie.</w:t>
      </w:r>
    </w:p>
    <w:p>
      <w:r>
        <w:rPr>
          <w:b/>
        </w:rPr>
        <w:t xml:space="preserve">Ergebnis: </w:t>
      </w:r>
      <w:r>
        <w:t>148 Nebenwirkungsberichte von 12 europäischen Ländern (2022–2024), geschätzte Exposition 608.815 Patientenzeiträume. Gastrointestinale Ereignisse 45,9%, Arthromyalgie 16,9%, Überempfindlichkeit 10,8%. Schwere/ernsthafte Ereignisse 0,7%/1,4%. Geschätztes exposure-adjustiertes Melderisiko: 0,02% für alle, 0,0003% für ernsthafte Nebenwirkungen.</w:t>
      </w:r>
    </w:p>
    <w:p>
      <w:r>
        <w:rPr>
          <w:b/>
          <w:sz w:val="19"/>
        </w:rPr>
        <w:t xml:space="preserve">Übertragbarkeit: </w:t>
      </w:r>
      <w:r>
        <w:rPr>
          <w:sz w:val="19"/>
        </w:rPr>
        <w:t>Deutschland/DACH: Italienische, europäische Daten aus vergleichbarem Supplement-Regulierungssystem.</w:t>
      </w:r>
    </w:p>
    <w:p>
      <w:r>
        <w:rPr>
          <w:color w:val="5A7D3A"/>
          <w:sz w:val="18"/>
        </w:rPr>
        <w:t>https://pubmed.ncbi.nlm.nih.gov/42514371/</w:t>
      </w:r>
    </w:p>
    <w:p>
      <w:pPr>
        <w:pStyle w:val="Heading1"/>
      </w:pPr>
      <w:r>
        <w:t>Aufgenommen am 27.09.2026</w:t>
      </w:r>
    </w:p>
    <w:p>
      <w:pPr>
        <w:pStyle w:val="Heading2"/>
      </w:pPr>
      <w:r>
        <w:t>Pflegeanfänger erkennen Medikationsfehler und Stürze, benötigen aber Kultur der psychologischen Sicherheit</w:t>
      </w:r>
    </w:p>
    <w:p>
      <w:r>
        <w:rPr>
          <w:i/>
          <w:color w:val="666666"/>
          <w:sz w:val="18"/>
        </w:rPr>
        <w:t>Kohanová D et al.  ·  Nurs Health Sci  ·  Dez. 2026  ·  PMID 42799319</w:t>
      </w:r>
    </w:p>
    <w:p>
      <w:r>
        <w:t>Qualitative Sekundäranalyse von 1.442 Studierenden aus vier Ländern (Tschechien, Italien, Slowakei, Türkei), die über Patientsicherheitsvorfälle während Klinischer Praktika berichteten.</w:t>
      </w:r>
    </w:p>
    <w:p>
      <w:r>
        <w:rPr>
          <w:b/>
        </w:rPr>
        <w:t xml:space="preserve">Ergebnis: </w:t>
      </w:r>
      <w:r>
        <w:t>287 Vorfallbeschreibungen analysiert; am häufigsten: Medikationsfehler und Patientenstürze, gefolgt von Infektionsprävention, Kommunikationsfehler, unzureichende Betreuung. Studierende benannten multifaktoriale Ursachen (Patient, Kontext, Organisation, Mensch). Empfehlungen: strukturierte Debriefings, klare Meldekanäle, psychologisch sichere, nicht-punitiv gestaltete Lernumgebungen.</w:t>
      </w:r>
    </w:p>
    <w:p>
      <w:r>
        <w:rPr>
          <w:b/>
          <w:sz w:val="19"/>
        </w:rPr>
        <w:t xml:space="preserve">Übertragbarkeit: </w:t>
      </w:r>
      <w:r>
        <w:rPr>
          <w:sz w:val="19"/>
        </w:rPr>
        <w:t>Mitteleuropa und Südosteuropa, ähnliche Ausbildungsstrukturen</w:t>
      </w:r>
    </w:p>
    <w:p>
      <w:r>
        <w:rPr>
          <w:color w:val="5A7D3A"/>
          <w:sz w:val="18"/>
        </w:rPr>
        <w:t>https://pubmed.ncbi.nlm.nih.gov/42799319/</w:t>
      </w:r>
    </w:p>
    <w:p>
      <w:pPr>
        <w:pStyle w:val="Heading2"/>
      </w:pPr>
      <w:r>
        <w:t>Unangemessene Medikationen bei Älteren in der Primärversorgung: Häufigkeit und Risikofaktoren</w:t>
      </w:r>
    </w:p>
    <w:p>
      <w:r>
        <w:rPr>
          <w:i/>
          <w:color w:val="666666"/>
          <w:sz w:val="18"/>
        </w:rPr>
        <w:t>Paraschiv M et al.  ·  Medicina (Kaunas)  ·  20.09.2026  ·  PMID 42796419</w:t>
      </w:r>
    </w:p>
    <w:p>
      <w:r>
        <w:t>Retrospektive Beobachtungsstudie an 100 Patienten ≥65 Jahren in einer rumänischen Hausarztpraxis, die potenziell unangemessene Medikationen (PIM) nach vier etablierten Kriterien (STOPP v3, Beers, EU(7)-PIM, PRISCUS v2) identifizierte.</w:t>
      </w:r>
    </w:p>
    <w:p>
      <w:r>
        <w:rPr>
          <w:b/>
        </w:rPr>
        <w:t xml:space="preserve">Ergebnis: </w:t>
      </w:r>
      <w:r>
        <w:t>Mindestens eine PIM fanden sich bei 73% (STOPP), 62% (Beers), 60% (EU(7)-PIM) und 53% (PRISCUS) der Patienten. STOPP identifizierte signifikant mehr PIMs als die anderen Kriterien (p&lt;0,001). Medikamentenlast war in adjustierten Analysen der konsistenteste Risikofaktor für alle Kriterien.</w:t>
      </w:r>
    </w:p>
    <w:p>
      <w:r>
        <w:rPr>
          <w:b/>
          <w:sz w:val="19"/>
        </w:rPr>
        <w:t xml:space="preserve">Übertragbarkeit: </w:t>
      </w:r>
      <w:r>
        <w:rPr>
          <w:sz w:val="19"/>
        </w:rPr>
        <w:t>Rumänische Primärversorgung, ähnliche Versicherungssysteme wie Deutschland</w:t>
      </w:r>
    </w:p>
    <w:p>
      <w:r>
        <w:rPr>
          <w:color w:val="5A7D3A"/>
          <w:sz w:val="18"/>
        </w:rPr>
        <w:t>https://pubmed.ncbi.nlm.nih.gov/42796419/</w:t>
      </w:r>
    </w:p>
    <w:p>
      <w:pPr>
        <w:pStyle w:val="Heading2"/>
      </w:pPr>
      <w:r>
        <w:t>Antimikrobielles Stewardship senkt MRSA und multiresistente Enterobakterien</w:t>
      </w:r>
    </w:p>
    <w:p>
      <w:r>
        <w:rPr>
          <w:i/>
          <w:color w:val="666666"/>
          <w:sz w:val="18"/>
        </w:rPr>
        <w:t>Grindean A et al.  ·  Medicina (Kaunas)  ·  11.09.2026  ·  PMID 42796362</w:t>
      </w:r>
    </w:p>
    <w:p>
      <w:r>
        <w:t>Retrospektive Langzeitstudie 2023–2025 eines rumänischen Krankenhauses, die Auswirkungen erhöhter mikrobiologischer Testung und gezieltem Stewardship auf Antibiotikaresistenzen untersuchte.</w:t>
      </w:r>
    </w:p>
    <w:p>
      <w:r>
        <w:rPr>
          <w:b/>
        </w:rPr>
        <w:t xml:space="preserve">Ergebnis: </w:t>
      </w:r>
      <w:r>
        <w:t>E.-coli-MDR sank von 7,4% (Sem. II 2023) auf 0,0% (Sem. II 2025); S.-aureus-MRSA+MLSB von 30,6% auf 0,0%. Mikrobiologische Testintensität stieg von 18,05% auf 28,20%. Durchschnittliche Liegedauer bei Infektionen 15,35 Tage, auf chirurgischen Stationen 20,80 Tage.</w:t>
      </w:r>
    </w:p>
    <w:p>
      <w:r>
        <w:rPr>
          <w:b/>
          <w:sz w:val="19"/>
        </w:rPr>
        <w:t xml:space="preserve">Übertragbarkeit: </w:t>
      </w:r>
      <w:r>
        <w:rPr>
          <w:sz w:val="19"/>
        </w:rPr>
        <w:t>Europäisches Krankenhaus, vergleichbare Hygiene- und Qualitätsziele</w:t>
      </w:r>
    </w:p>
    <w:p>
      <w:r>
        <w:rPr>
          <w:color w:val="5A7D3A"/>
          <w:sz w:val="18"/>
        </w:rPr>
        <w:t>https://pubmed.ncbi.nlm.nih.gov/42796362/</w:t>
      </w:r>
    </w:p>
    <w:p>
      <w:pPr>
        <w:pStyle w:val="Heading2"/>
      </w:pPr>
      <w:r>
        <w:t>Interklinischer Transport bei Neugeborenen-Sepsis: Versorgungskette unterbrochen, Forschung fehlt</w:t>
      </w:r>
    </w:p>
    <w:p>
      <w:r>
        <w:rPr>
          <w:i/>
          <w:color w:val="666666"/>
          <w:sz w:val="18"/>
        </w:rPr>
        <w:t>Damian RO et al.  ·  Medicina (Kaunas)  ·  11.09.2026  ·  PMID 42796359</w:t>
      </w:r>
    </w:p>
    <w:p>
      <w:r>
        <w:t>Scoping Review (39 Quellen, 2020–2026) zu Variablen, Interventionen und Organisationspraktiken beim interklinischen Neugeborenen-Transport im Kontext von Sepsis-Früherkennung und -Behandlung.</w:t>
      </w:r>
    </w:p>
    <w:p>
      <w:r>
        <w:rPr>
          <w:b/>
        </w:rPr>
        <w:t xml:space="preserve">Ergebnis: </w:t>
      </w:r>
      <w:r>
        <w:t>24 indirekt-klinische, 7 indirekt-organisatorische, 4 indirekt-technische, 1 indirekt-experienzielle und 3 direkt-prozess/indirekt-sepsis-Ergebnis-Quellen. Keine Studie zeigte, dass eine Transport-Intervention unabhängig Sepsis-Ergebnisse verbessert. Antimikrobielles Timing, Kulturen, Perfusionsverlauf und strukturierte Handover unterrepräsentiert.</w:t>
      </w:r>
    </w:p>
    <w:p>
      <w:r>
        <w:rPr>
          <w:b/>
          <w:sz w:val="19"/>
        </w:rPr>
        <w:t xml:space="preserve">Übertragbarkeit: </w:t>
      </w:r>
      <w:r>
        <w:rPr>
          <w:sz w:val="19"/>
        </w:rPr>
        <w:t>Mehrere europäische Länder eingeschlossen, Organisationslücke übertragbar auf Deutschland</w:t>
      </w:r>
    </w:p>
    <w:p>
      <w:r>
        <w:rPr>
          <w:color w:val="5A7D3A"/>
          <w:sz w:val="18"/>
        </w:rPr>
        <w:t>https://pubmed.ncbi.nlm.nih.gov/42796359/</w:t>
      </w:r>
    </w:p>
    <w:p>
      <w:pPr>
        <w:pStyle w:val="Heading2"/>
      </w:pPr>
      <w:r>
        <w:t>Patientensicherheits-Screening vor bildgebenden Verfahren: Papierformulare dominieren, Standardisierung fehlt</w:t>
      </w:r>
    </w:p>
    <w:p>
      <w:r>
        <w:rPr>
          <w:i/>
          <w:color w:val="666666"/>
          <w:sz w:val="18"/>
        </w:rPr>
        <w:t>Mallinson MA et al.  ·  J Eval Clin Pract  ·  Sept. 2026  ·  PMID 42788779</w:t>
      </w:r>
    </w:p>
    <w:p>
      <w:r>
        <w:t>Freiheitsinformation-Anfrage an 129 englische NHS-Krankenhäuser und private Anbieter zur Nutzung und Gestaltung von Sicherheits-Screening-Formularen vor Diagnostischer Bildgebung.</w:t>
      </w:r>
    </w:p>
    <w:p>
      <w:r>
        <w:rPr>
          <w:b/>
        </w:rPr>
        <w:t xml:space="preserve">Ergebnis: </w:t>
      </w:r>
      <w:r>
        <w:t>Rücklaufquote 83,2%; 91,3% der NHS-Organisationen antworteten. 55,8% beantworteten innerhalb der erwarteten 20 Arbeitstage. Die Mehrheit nutzt Papierformulare; nur eine Organisation setzte vollständig auf digitale Formulare. Erhebliche Inkonsistenzen in Design und Interpretation berichtet.</w:t>
      </w:r>
    </w:p>
    <w:p>
      <w:r>
        <w:rPr>
          <w:b/>
          <w:sz w:val="19"/>
        </w:rPr>
        <w:t xml:space="preserve">Übertragbarkeit: </w:t>
      </w:r>
      <w:r>
        <w:rPr>
          <w:sz w:val="19"/>
        </w:rPr>
        <w:t>Großbritannien (NHS), andere Versorgungsstrukturen, aber vergleichbare Sicherheitsprobleme</w:t>
      </w:r>
    </w:p>
    <w:p>
      <w:r>
        <w:rPr>
          <w:color w:val="5A7D3A"/>
          <w:sz w:val="18"/>
        </w:rPr>
        <w:t>https://pubmed.ncbi.nlm.nih.gov/42788779/</w:t>
      </w:r>
    </w:p>
    <w:p>
      <w:pPr>
        <w:pStyle w:val="Heading2"/>
      </w:pPr>
      <w:r>
        <w:t>Sepsis-Vorhersagemodell LiSep LSTM funktioniert in Europa wie in USA, aber Kalibrierung erforderlich</w:t>
      </w:r>
    </w:p>
    <w:p>
      <w:r>
        <w:rPr>
          <w:i/>
          <w:color w:val="666666"/>
          <w:sz w:val="18"/>
        </w:rPr>
        <w:t>Tan HK et al.  ·  Sci Rep  ·  10.09.2026  ·  PMID 42722695</w:t>
      </w:r>
    </w:p>
    <w:p>
      <w:r>
        <w:t>Validierungsstudie eines Tiefenlern-Modells (LiSep LSTM) zur frühen Vorhersage septischen Schocks, trainiert an US-Daten (MIMIC-III), getestet an europäischer Kohorte (Amsterdam UMC).</w:t>
      </w:r>
    </w:p>
    <w:p>
      <w:r>
        <w:rPr>
          <w:b/>
        </w:rPr>
        <w:t xml:space="preserve">Ergebnis: </w:t>
      </w:r>
      <w:r>
        <w:t>Auf AUMC-Kohorte: AUROC 0,8851 (95%-KI 0,8612–0,909) mit Medianen 47,0 h vor Symptombeginn. Externe Validierung zeigte reduzierte Kalibrierung und Rückruf; gepooltes Training verbesserte AUROC und Brier-Score. Genauigkeit 0,60–0,77, Präzision niedrig (0,01–0,17) aufgrund hoher Falsch-Positive.</w:t>
      </w:r>
    </w:p>
    <w:p>
      <w:r>
        <w:rPr>
          <w:b/>
          <w:sz w:val="19"/>
        </w:rPr>
        <w:t xml:space="preserve">Übertragbarkeit: </w:t>
      </w:r>
      <w:r>
        <w:rPr>
          <w:sz w:val="19"/>
        </w:rPr>
        <w:t>USA und Niederlande, externe Validierung ist übertragbar, Lokalanpassung notwendig</w:t>
      </w:r>
    </w:p>
    <w:p>
      <w:r>
        <w:rPr>
          <w:color w:val="5A7D3A"/>
          <w:sz w:val="18"/>
        </w:rPr>
        <w:t>https://pubmed.ncbi.nlm.nih.gov/42722695/</w:t>
      </w:r>
    </w:p>
    <w:p>
      <w:pPr>
        <w:pStyle w:val="Heading1"/>
      </w:pPr>
      <w:r>
        <w:t>Aufgenommen am 26.09.2026</w:t>
      </w:r>
    </w:p>
    <w:p>
      <w:pPr>
        <w:pStyle w:val="Heading2"/>
      </w:pPr>
      <w:r>
        <w:t>Glow-Licht-Audit verbessserte Händehygiene-Qualität im NICU um 87 % - von 19,7 % auf 37 % Fehlerfreiheit</w:t>
      </w:r>
    </w:p>
    <w:p>
      <w:r>
        <w:rPr>
          <w:i/>
          <w:color w:val="666666"/>
          <w:sz w:val="18"/>
        </w:rPr>
        <w:t>Chubey R et al.  ·  Neonatal Netw  ·  01.09.2026  ·  PMID 42791024</w:t>
      </w:r>
    </w:p>
    <w:p>
      <w:r>
        <w:t>Quality-Improvement-Projekt (PDSA-Zyklen) in kanadischem NICU: Audit der Händehygiene-Qualität mit Glow-Lotion und UV-Licht zur visuellen Rückmeldung über unvollständige Waschstellen; Messung bei Eintritt aller Fachpersonen.</w:t>
      </w:r>
    </w:p>
    <w:p>
      <w:r>
        <w:rPr>
          <w:b/>
        </w:rPr>
        <w:t xml:space="preserve">Ergebnis: </w:t>
      </w:r>
      <w:r>
        <w:t>Anteil der Teilnehmer ohne Glow-Areale (Indikator perfekter Händehygiene) erhöht von 19,7 % auf 37 %. Anteil mit &gt;2 fehlgewaschenen Zonen sank von 39,6 % auf 20,7 %. Hinweis: Trotz Verbesserung zeigten einige Mitarbeiter noch mindestens eine Glow-Zone, unterstreicht Notwendigkeit kontinuierlicher Audits. Autoren fordern multidisziplinäre Edukation und regelmäßige Audits.</w:t>
      </w:r>
    </w:p>
    <w:p>
      <w:r>
        <w:rPr>
          <w:b/>
          <w:sz w:val="19"/>
        </w:rPr>
        <w:t xml:space="preserve">Übertragbarkeit: </w:t>
      </w:r>
      <w:r>
        <w:rPr>
          <w:sz w:val="19"/>
        </w:rPr>
        <w:t>Kanada, NICU-Setting; direkt übertragbar auf deutsche Intensivstationen mit verfügbarer Glow-Technologie</w:t>
      </w:r>
    </w:p>
    <w:p>
      <w:r>
        <w:rPr>
          <w:color w:val="5A7D3A"/>
          <w:sz w:val="18"/>
        </w:rPr>
        <w:t>https://pubmed.ncbi.nlm.nih.gov/42791024/</w:t>
      </w:r>
    </w:p>
    <w:p>
      <w:pPr>
        <w:pStyle w:val="Heading2"/>
      </w:pPr>
      <w:r>
        <w:t>Katheter-assoziierte Harnwegsinfektionen auf Intensivstationen erhöhten Verweildauer, nicht direkt die Sterblichkeit</w:t>
      </w:r>
    </w:p>
    <w:p>
      <w:r>
        <w:rPr>
          <w:i/>
          <w:color w:val="666666"/>
          <w:sz w:val="18"/>
        </w:rPr>
        <w:t>Bartoszewicz M et al.  ·  PLoS One  ·  25.09.2026  ·  PMID 42789543</w:t>
      </w:r>
    </w:p>
    <w:p>
      <w:r>
        <w:t>Retrospektive Kohortenstudie in Polen (2017-2023) an 3.231 ICU-Aufnahmen zur Charakterisierung bakterieller Katheter-assoziierter Harnwegsinfektionen (CAUTI) und deren Assoziation mit Patientencharakteristika und Mortalität.</w:t>
      </w:r>
    </w:p>
    <w:p>
      <w:r>
        <w:rPr>
          <w:b/>
        </w:rPr>
        <w:t xml:space="preserve">Ergebnis: </w:t>
      </w:r>
      <w:r>
        <w:t>CAUTI trat in 301 Patienten auf (9,3%; 95%-KI 8,4-10,4%). ICU-Verweildauer/Katheter-Exposition CAUTI 28,3 vs. 13,6 Tage (Differenz 14,8 Tage; 95%-KI 11,7-17,8). Mortalität 49,2% (CAUTI) vs. 45,9% (keine CAUTI); nach Adjustment für Aufnahmecharakteristika war CAUTI nicht mit Tod assoziiert (OR 0,95; 95%-KI 0,75-1,22). Unabhängige Risikofaktoren: weibliches Geschlecht (OR 1,48), Adipositas (OR 1,62), COVID-19 (OR 2,16). 66,4% der Isolate zeigten Resistenzphänotypen.</w:t>
      </w:r>
    </w:p>
    <w:p>
      <w:r>
        <w:rPr>
          <w:b/>
          <w:sz w:val="19"/>
        </w:rPr>
        <w:t xml:space="preserve">Übertragbarkeit: </w:t>
      </w:r>
      <w:r>
        <w:rPr>
          <w:sz w:val="19"/>
        </w:rPr>
        <w:t>Polen, europäisches Gesundheitssystem mit ICU-Standards ähnlich Deutschland</w:t>
      </w:r>
    </w:p>
    <w:p>
      <w:r>
        <w:rPr>
          <w:color w:val="5A7D3A"/>
          <w:sz w:val="18"/>
        </w:rPr>
        <w:t>https://pubmed.ncbi.nlm.nih.gov/42789543/</w:t>
      </w:r>
    </w:p>
    <w:p>
      <w:pPr>
        <w:pStyle w:val="Heading2"/>
      </w:pPr>
      <w:r>
        <w:t>Reserve-Antibiotika-Stewardship senkten unangemessene Anwendungen bei Kindern um ein Drittel</w:t>
      </w:r>
    </w:p>
    <w:p>
      <w:r>
        <w:rPr>
          <w:i/>
          <w:color w:val="666666"/>
          <w:sz w:val="18"/>
        </w:rPr>
        <w:t>Echávarri de Miguel M et al.  ·  Eur J Pediatr  ·  25.09.2026  ·  PMID 42789114</w:t>
      </w:r>
    </w:p>
    <w:p>
      <w:r>
        <w:t>Retrospektive Studie zu WHO-Reserve-Antibiotika (Ceftazidim-Avibactam, Ceftolozane-Tazobactam, Cefiderocol u.a.) in einer pädiatrischen Universitätsklinik; nach Implementierung eines strukturierten Stewardship-Programms mit Formularbeschränkung und elektronischen Verschreibungstools wurden Indikationen überprüft.</w:t>
      </w:r>
    </w:p>
    <w:p>
      <w:r>
        <w:rPr>
          <w:b/>
        </w:rPr>
        <w:t xml:space="preserve">Ergebnis: </w:t>
      </w:r>
      <w:r>
        <w:t>96 Behandlungsepisoden analysiert. Cefiderocol und Ceftazidim-Avibactam zeigten hohe Übereinstimmung mit Resistenzkriterien; Ceftolozane-Tazobactam und Ceftaroline wurden häufiger empirisch eingesetzt. Nach Stewardship-Implementierung (formulary restriction, elektronische Prescribing-Safeguards, WHO-AWaRe-Integration) verbesserte sich die Indikationsstellung und klinische Governance.</w:t>
      </w:r>
    </w:p>
    <w:p>
      <w:r>
        <w:rPr>
          <w:b/>
          <w:sz w:val="19"/>
        </w:rPr>
        <w:t xml:space="preserve">Übertragbarkeit: </w:t>
      </w:r>
      <w:r>
        <w:rPr>
          <w:sz w:val="19"/>
        </w:rPr>
        <w:t>Spanien; vergleichbar mit deutschen Universitätskliniken und Stewardship-Vorgaben</w:t>
      </w:r>
    </w:p>
    <w:p>
      <w:r>
        <w:rPr>
          <w:color w:val="5A7D3A"/>
          <w:sz w:val="18"/>
        </w:rPr>
        <w:t>https://pubmed.ncbi.nlm.nih.gov/42789114/</w:t>
      </w:r>
    </w:p>
    <w:p>
      <w:pPr>
        <w:pStyle w:val="Heading2"/>
      </w:pPr>
      <w:r>
        <w:t>Aufmerksamkeit auf Sepsiszeichen ist Schlüssel zur frühzeitigen Diagnose - Framework für Kliniker und Organisationen</w:t>
      </w:r>
    </w:p>
    <w:p>
      <w:r>
        <w:rPr>
          <w:i/>
          <w:color w:val="666666"/>
          <w:sz w:val="18"/>
        </w:rPr>
        <w:t>Birken SA et al.  ·  Crit Care Explor  ·  01.10.2026  ·  PMID 42788993</w:t>
      </w:r>
    </w:p>
    <w:p>
      <w:r>
        <w:t>Qualitative Observationsstudie (41 Interviews an 20 US-Krankenhäusern mit System-, Abteilungs- und Kliniker-Ebenen-Akteuren) zur Entwicklung und Validierung des SepsisDx-Frameworks für genaue, zeitnahe Sepsisdiagnose.</w:t>
      </w:r>
    </w:p>
    <w:p>
      <w:r>
        <w:rPr>
          <w:b/>
        </w:rPr>
        <w:t xml:space="preserve">Ergebnis: </w:t>
      </w:r>
      <w:r>
        <w:t>SepsisDx-Framework bestätigt zentrale These: Sepsisdiagnose wird durch Wechselwirkung von Mikro-, Meso- und Makroebenen beeinflusst. Wichtigste Faktor auf Individualebene: Aufmerksamkeit (noticing, encoding, interpreting, focusing time/effort). Aufmerksamkeit reduziert durch mehrdeutige klinische Präsentationen und Schocks (z.B. COVID-19). Organisatorische Strategien (Audit und Feedback) erhöhten Organisations-Aufmerksamkeit, reduzierten aber Provider-Aufmerksamkeit; Effektivität moderiert durch Personalausstattung. Framework klärt Mechanismen und informiert Interventions-Design.</w:t>
      </w:r>
    </w:p>
    <w:p>
      <w:r>
        <w:rPr>
          <w:b/>
          <w:sz w:val="19"/>
        </w:rPr>
        <w:t xml:space="preserve">Übertragbarkeit: </w:t>
      </w:r>
      <w:r>
        <w:rPr>
          <w:sz w:val="19"/>
        </w:rPr>
        <w:t>USA, Gedankenmodell translabel auf Deutschland; Validierung in europäischen Systemen erforderlich</w:t>
      </w:r>
    </w:p>
    <w:p>
      <w:r>
        <w:rPr>
          <w:color w:val="5A7D3A"/>
          <w:sz w:val="18"/>
        </w:rPr>
        <w:t>https://pubmed.ncbi.nlm.nih.gov/42788993/</w:t>
      </w:r>
    </w:p>
    <w:p>
      <w:pPr>
        <w:pStyle w:val="Heading2"/>
      </w:pPr>
      <w:r>
        <w:t>Kliniker in Bangladesch unterstützen Antibiotic-Stewardship, scheitern aber an Umsetzung ohne Systeme</w:t>
      </w:r>
    </w:p>
    <w:p>
      <w:r>
        <w:rPr>
          <w:i/>
          <w:color w:val="666666"/>
          <w:sz w:val="18"/>
        </w:rPr>
        <w:t>Amin MA et al.  ·  J Biosoc Sci  ·  25.09.2026  ·  PMID 42788376</w:t>
      </w:r>
    </w:p>
    <w:p>
      <w:r>
        <w:t>Qualitative Interviewstudie (18 Kliniker, 36 Betreuer) an drei Krankenhäusern in Bangladesch zu Wissensstand und Perspektiven auf Antibiotic Stewardship bei Diarrhö bei Kindern unter fünf Jahren.</w:t>
      </w:r>
    </w:p>
    <w:p>
      <w:r>
        <w:rPr>
          <w:b/>
        </w:rPr>
        <w:t xml:space="preserve">Ergebnis: </w:t>
      </w:r>
      <w:r>
        <w:t>Wenige Kliniker kannten Begriff 'Antibiotic Stewardship', aber die meisten verstanden Kernprinzipien und unterstützten sie. Betreuer waren überwiegend unfamiliar damit. Kliniker beschrieben informale Stewardship-Bemühungen, aber Abwesenheit strukturierter Programme. Schlüssel-Barrieren: Community-Anbieter ohne Regulierung, Personalengpässe, Betreuer-Erwartungen für Antibiotika, Druck, Familien-Wünsche zu erfüllen. Forderung nach facility- und community-basiertem Ansatz mit Entscheidungs-Unterstützung, Antibiotika-Audits, Community-Edukation.</w:t>
      </w:r>
    </w:p>
    <w:p>
      <w:r>
        <w:rPr>
          <w:b/>
          <w:sz w:val="19"/>
        </w:rPr>
        <w:t xml:space="preserve">Übertragbarkeit: </w:t>
      </w:r>
      <w:r>
        <w:rPr>
          <w:sz w:val="19"/>
        </w:rPr>
        <w:t>Bangladesch (Low-Resource-Setting); Befunde zu Stewardship-Barrieren relevant für deutsche Diskussion bei Migration und vulnerablen Populationen</w:t>
      </w:r>
    </w:p>
    <w:p>
      <w:r>
        <w:rPr>
          <w:color w:val="5A7D3A"/>
          <w:sz w:val="18"/>
        </w:rPr>
        <w:t>https://pubmed.ncbi.nlm.nih.gov/42788376/</w:t>
      </w:r>
    </w:p>
    <w:p>
      <w:pPr>
        <w:pStyle w:val="Heading2"/>
      </w:pPr>
      <w:r>
        <w:t>MDRO-Infektionen nach Magen-Darm-Chirurgie kosteten durchschnittlich 21.000 Euro extra pro Patient</w:t>
      </w:r>
    </w:p>
    <w:p>
      <w:r>
        <w:rPr>
          <w:i/>
          <w:color w:val="666666"/>
          <w:sz w:val="18"/>
        </w:rPr>
        <w:t>Yan P et al.  ·  Front Public Health  ·  10.09.2026  ·  PMID 42787113</w:t>
      </w:r>
    </w:p>
    <w:p>
      <w:r>
        <w:t>Retrospektive Kohortenstudie in China an 100 Patienten mit postoperativen Infektionen nach Magen-Darm-Chirurgie; Vergleich multiresistenter Organismen (MDRO, n=41) mit nicht-MDRO (n=59) bezüglich Kostenfolgen und ICU-Aufenthaltszeiten.</w:t>
      </w:r>
    </w:p>
    <w:p>
      <w:r>
        <w:rPr>
          <w:b/>
        </w:rPr>
        <w:t xml:space="preserve">Ergebnis: </w:t>
      </w:r>
      <w:r>
        <w:t>Gesamtkrankenhauskosten MDRO: Median 85.913 CNY vs. nicht-MDRO 64.747 CNY (p&lt;0,05); Inkrementalkosten ΔC 95%-KI: 18.405-78.031 CNY (~2.200-9.400 Euro); ICU-Verweildauer MDRO median 2 Tage vs. 0 Tage (p&lt;0,001); Antibiotika-Therapiedauer 25 vs. 23 Tage (p=0,017); Krankenhausverweildauer 35 vs. 29 Tage (p=0,030). Labordiagnostik, nichtchirurgische Behandlung und diagnostische Verfahren waren Hauptkostentreiber.</w:t>
      </w:r>
    </w:p>
    <w:p>
      <w:r>
        <w:rPr>
          <w:b/>
          <w:sz w:val="19"/>
        </w:rPr>
        <w:t xml:space="preserve">Übertragbarkeit: </w:t>
      </w:r>
      <w:r>
        <w:rPr>
          <w:sz w:val="19"/>
        </w:rPr>
        <w:t>China, vergleichbare chirurgische Patientenpopulation; Kostenergebnisse nicht 1:1 auf Deutschland übertragbar</w:t>
      </w:r>
    </w:p>
    <w:p>
      <w:r>
        <w:rPr>
          <w:color w:val="5A7D3A"/>
          <w:sz w:val="18"/>
        </w:rPr>
        <w:t>https://pubmed.ncbi.nlm.nih.gov/42787113/</w:t>
      </w:r>
    </w:p>
    <w:p>
      <w:pPr>
        <w:pStyle w:val="Heading2"/>
      </w:pPr>
      <w:r>
        <w:t>Kommunikationslücken und Personalüberlastung verursachen vermeidbare Schäden in Pflegeheimen</w:t>
      </w:r>
    </w:p>
    <w:p>
      <w:r>
        <w:rPr>
          <w:i/>
          <w:color w:val="666666"/>
          <w:sz w:val="18"/>
        </w:rPr>
        <w:t>Mowat R et al.  ·  N Z Med J  ·  25.09.2026  ·  PMID 42784820</w:t>
      </w:r>
    </w:p>
    <w:p>
      <w:r>
        <w:t>Qualitative Fallstudie nach Yin (24 HDC-Fälle 2007-2021) zu menschlichen Fehlerfaktoren in neuseeländischen Altenheimen; thematische Analyse der von der Health &amp; Disability Commission untersuchten Beschwerde-Muster.</w:t>
      </w:r>
    </w:p>
    <w:p>
      <w:r>
        <w:rPr>
          <w:b/>
        </w:rPr>
        <w:t xml:space="preserve">Ergebnis: </w:t>
      </w:r>
      <w:r>
        <w:t>Vier rekurrente Themen: (1) Kommunikationslücken, (2) Dokumentationsmängel, (3) Inkonsistenzen zwischen Richtlinie und Praxis, (4) Personalknappheit und unzureichende Fachkompetenz. Autoren empfehlen systemischen Ansatz (Systems Engineering Initiative for Patient Safety) statt Individuen-Fokus zu Harm-Prevention.</w:t>
      </w:r>
    </w:p>
    <w:p>
      <w:r>
        <w:rPr>
          <w:b/>
          <w:sz w:val="19"/>
        </w:rPr>
        <w:t xml:space="preserve">Übertragbarkeit: </w:t>
      </w:r>
      <w:r>
        <w:rPr>
          <w:sz w:val="19"/>
        </w:rPr>
        <w:t>Neuseeland, ähnliches Gesundheitssystem wie Australien; relevante Befunde für deutsches Qualitätsmanagement</w:t>
      </w:r>
    </w:p>
    <w:p>
      <w:r>
        <w:rPr>
          <w:color w:val="5A7D3A"/>
          <w:sz w:val="18"/>
        </w:rPr>
        <w:t>https://pubmed.ncbi.nlm.nih.gov/42784820/</w:t>
      </w:r>
    </w:p>
    <w:p>
      <w:pPr>
        <w:pStyle w:val="Heading1"/>
      </w:pPr>
      <w:r>
        <w:t>Aufgenommen am 25.09.2026</w:t>
      </w:r>
    </w:p>
    <w:p>
      <w:pPr>
        <w:pStyle w:val="Heading2"/>
      </w:pPr>
      <w:r>
        <w:t>Klinische Phenotypen der neonatalen Sepsis zeigen bessere Sterblichkeits­vorhersage als WHO-Leitlinie</w:t>
      </w:r>
    </w:p>
    <w:p>
      <w:r>
        <w:rPr>
          <w:i/>
          <w:color w:val="666666"/>
          <w:sz w:val="18"/>
        </w:rPr>
        <w:t>Tuti T et al.  ·  PLoS One  ·  24.09.2026  ·  PMID 42784586</w:t>
      </w:r>
    </w:p>
    <w:p>
      <w:r>
        <w:t>Latent-Class-Analyse von Zeichen möglicher schwerer bakterieller Infektion (pSBI) bei Neugeborenen in 21 kenianischen Kliniken zur Identifikation von Sepsis-Clustern und Sterblichkeitsrisiko-Stratifizierung.</w:t>
      </w:r>
    </w:p>
    <w:p>
      <w:r>
        <w:rPr>
          <w:b/>
        </w:rPr>
        <w:t xml:space="preserve">Ergebnis: </w:t>
      </w:r>
      <w:r>
        <w:t>Fünf Cluster mit minimalem bis kritischem Sterblichkeitsrisiko wurden identifiziert. Modell-Diskrimination (AUROC 0,867 vs. WHO 0,721; Unterschied 0,146) und Kalibrierung übertroffen WHO-Klassifikation. Externe Validierung an 13 zusätzlichen Kliniken mit Accuracy 83,16 %, PPV 81,02 %.</w:t>
      </w:r>
    </w:p>
    <w:p>
      <w:r>
        <w:rPr>
          <w:b/>
          <w:sz w:val="19"/>
        </w:rPr>
        <w:t xml:space="preserve">Übertragbarkeit: </w:t>
      </w:r>
      <w:r>
        <w:rPr>
          <w:sz w:val="19"/>
        </w:rPr>
        <w:t>Kenia; ressourcenbegrenzte Umgebung, aber generalisierbare Risiko-Stratifikation ohne teure Tests</w:t>
      </w:r>
    </w:p>
    <w:p>
      <w:r>
        <w:rPr>
          <w:color w:val="5A7D3A"/>
          <w:sz w:val="18"/>
        </w:rPr>
        <w:t>https://pubmed.ncbi.nlm.nih.gov/42784586/</w:t>
      </w:r>
    </w:p>
    <w:p>
      <w:pPr>
        <w:pStyle w:val="Heading2"/>
      </w:pPr>
      <w:r>
        <w:t>Postoperative Infektionen nach Kolonkarzinom-OP senken Langzeitüberleben um 18 Prozentpunkte</w:t>
      </w:r>
    </w:p>
    <w:p>
      <w:r>
        <w:rPr>
          <w:i/>
          <w:color w:val="666666"/>
          <w:sz w:val="18"/>
        </w:rPr>
        <w:t>Lee J et al.  ·  BJS Open  ·  04.09.2026  ·  PMID 42782000</w:t>
      </w:r>
    </w:p>
    <w:p>
      <w:r>
        <w:t>Sekundäranalyse einer randomisierten Studie mit 161 Patienten, Langzeitfolge-up median 57 Monate, zur Assoziation postoperativer Infektionen mit Krankheits- und Gesamtüberleben nach elektiver Kolonkarzinom-Chirurgie.</w:t>
      </w:r>
    </w:p>
    <w:p>
      <w:r>
        <w:rPr>
          <w:b/>
        </w:rPr>
        <w:t xml:space="preserve">Ergebnis: </w:t>
      </w:r>
      <w:r>
        <w:t>5-Jahres-Gesamtüberleben bei Patienten mit postoperativen Infektionen 74 % gegenüber 92 % ohne Infektionen (p = 0,013; Differenz 18 Prozentpunkte). In Multivarianz-Analyse: Infektionen erhöhten Sterblichkeitsrisiko unabhängig (HR 4,14; p = 0,007). Trend zu schlechterer Krankheitsfreiheit (71 % vs. 86 %; p = 0,065).</w:t>
      </w:r>
    </w:p>
    <w:p>
      <w:r>
        <w:rPr>
          <w:b/>
          <w:sz w:val="19"/>
        </w:rPr>
        <w:t xml:space="preserve">Übertragbarkeit: </w:t>
      </w:r>
      <w:r>
        <w:rPr>
          <w:sz w:val="19"/>
        </w:rPr>
        <w:t>Südkorea, vergleichbares Chirurgie-Setting und Follow-up-Struktur wie Deutschland</w:t>
      </w:r>
    </w:p>
    <w:p>
      <w:r>
        <w:rPr>
          <w:color w:val="5A7D3A"/>
          <w:sz w:val="18"/>
        </w:rPr>
        <w:t>https://pubmed.ncbi.nlm.nih.gov/42782000/</w:t>
      </w:r>
    </w:p>
    <w:p>
      <w:pPr>
        <w:pStyle w:val="Heading2"/>
      </w:pPr>
      <w:r>
        <w:t>Fünfjahresergebnisse: Fehlermeldungen in einer italienischen Gesundheitsbehörde zeigen System-Schwachstellen</w:t>
      </w:r>
    </w:p>
    <w:p>
      <w:r>
        <w:rPr>
          <w:i/>
          <w:color w:val="666666"/>
          <w:sz w:val="18"/>
        </w:rPr>
        <w:t>Amato S et al.  ·  Ig Sanita Pubbl  ·  Juli 2026  ·  PMID 42776155</w:t>
      </w:r>
    </w:p>
    <w:p>
      <w:r>
        <w:t>Analyse von 5 Jahren eingegangener Fehlermeldungen in einer italienischen ASL (Lokale Gesundheitsbehörde) mit Fokus auf Typ, Klassifikation und eingeleitete Korrektivmaßnahmen.</w:t>
      </w:r>
    </w:p>
    <w:p>
      <w:r>
        <w:rPr>
          <w:b/>
        </w:rPr>
        <w:t xml:space="preserve">Ergebnis: </w:t>
      </w:r>
      <w:r>
        <w:t>Detaillierte Erfassung der Häufigkeit und Struktur der Meldungen wurde durchgeführt; die Studie legt dar, wie Meldungen verarbeitet und Maßnahmen eingeleitet wurden. Ohne Angabe einzelner Häufigkeiten oder Verbesserungen von Behandlungsergebnissen konnte die Funktionsfähigkeit der Meldesysteme beschrieben, aber nicht in vermiedenen Schäden gemessen werden.</w:t>
      </w:r>
    </w:p>
    <w:p>
      <w:r>
        <w:rPr>
          <w:b/>
          <w:sz w:val="19"/>
        </w:rPr>
        <w:t xml:space="preserve">Übertragbarkeit: </w:t>
      </w:r>
      <w:r>
        <w:rPr>
          <w:sz w:val="19"/>
        </w:rPr>
        <w:t>Italien, öffentliches Gesundheitssystem; weniger regulatorische Trennung von ambulant/stationär als Deutschland</w:t>
      </w:r>
    </w:p>
    <w:p>
      <w:r>
        <w:rPr>
          <w:color w:val="5A7D3A"/>
          <w:sz w:val="18"/>
        </w:rPr>
        <w:t>https://pubmed.ncbi.nlm.nih.gov/42776155/</w:t>
      </w:r>
    </w:p>
    <w:p>
      <w:pPr>
        <w:pStyle w:val="Heading2"/>
      </w:pPr>
      <w:r>
        <w:t>Digital informierte Antibiotic-Stewardship-Ausbildung erhöht Fachkompetenz um 30 bis 50 Prozent</w:t>
      </w:r>
    </w:p>
    <w:p>
      <w:r>
        <w:rPr>
          <w:i/>
          <w:color w:val="666666"/>
          <w:sz w:val="18"/>
        </w:rPr>
        <w:t>Kusuma IY et al.  ·  J Am Coll Clin Pharm  ·  Okt. 2026  ·  PMID 42773335</w:t>
      </w:r>
    </w:p>
    <w:p>
      <w:r>
        <w:t>Geclusterte Stepped-Wedge-Studie mit 268 Pharmaziestudierenden zum Effekt eines multikomponentigen, theory-informed Digital Antimicrobial Stewardship Education Intervention (DASEI) auf Wissen, Klinisches Denken, Wahrnehmung und Einstellung.</w:t>
      </w:r>
    </w:p>
    <w:p>
      <w:r>
        <w:rPr>
          <w:b/>
        </w:rPr>
        <w:t xml:space="preserve">Ergebnis: </w:t>
      </w:r>
      <w:r>
        <w:t>Antibiotikakenntnis stieg von 16,08 auf 20,96 Punkte (Zunahme 4,88, 30,3 %); Fallbearbeitungs-Scores von 3,46 auf 5,01 (Zunahme 1,55, 44,8 %); Wahrnehmung von 3,82 auf 4,04; Einstellung von 3,70 auf 4,10. Mixed-effects-Analyse zeigte signifikante Interventionseffekte (p &lt; 0,05) mit Verbesserungen über alle Zeitpunkte.</w:t>
      </w:r>
    </w:p>
    <w:p>
      <w:r>
        <w:rPr>
          <w:b/>
          <w:sz w:val="19"/>
        </w:rPr>
        <w:t xml:space="preserve">Übertragbarkeit: </w:t>
      </w:r>
      <w:r>
        <w:rPr>
          <w:sz w:val="19"/>
        </w:rPr>
        <w:t>Indonesien; anwendbar in Ländern mit begrenzter Ressourcen-Ausstattung von Aus- und Fortbildung</w:t>
      </w:r>
    </w:p>
    <w:p>
      <w:r>
        <w:rPr>
          <w:color w:val="5A7D3A"/>
          <w:sz w:val="18"/>
        </w:rPr>
        <w:t>https://pubmed.ncbi.nlm.nih.gov/42773335/</w:t>
      </w:r>
    </w:p>
    <w:p>
      <w:pPr>
        <w:pStyle w:val="Heading2"/>
      </w:pPr>
      <w:r>
        <w:t>Strukturiertes Prompting verbessert Fehler­erkennung in Radiologie-Berichten um 6 bis 8 Prozentpunkte</w:t>
      </w:r>
    </w:p>
    <w:p>
      <w:r>
        <w:rPr>
          <w:i/>
          <w:color w:val="666666"/>
          <w:sz w:val="18"/>
        </w:rPr>
        <w:t>Li J et al.  ·  Eur Radiol Exp  ·  22.09.2026  ·  PMID 42771118</w:t>
      </w:r>
    </w:p>
    <w:p>
      <w:r>
        <w:t>Entwicklung und Evaluierung von RadCoT, einem strukturierten Prompting-Framework für große Sprachmodelle, zur Fehlerkennung in Radiologie-Berichten an Hand von 1.200 klinisch validierten Fällen.</w:t>
      </w:r>
    </w:p>
    <w:p>
      <w:r>
        <w:rPr>
          <w:b/>
        </w:rPr>
        <w:t xml:space="preserve">Ergebnis: </w:t>
      </w:r>
      <w:r>
        <w:t>RadCoT erhöhte die mittlere F1-Metrik von 0,77 auf 0,85 (p = 0,003) über alle Modelle hinweg; Interpretation Fehler verbesserten sich von F1 = 0,57 auf 0,75. GPT-4o mit RadCoT erreichte F1 = 0,93; Llama-3.3-70B mit RadCoT (F1 = 0,89) schloss die Lücke zu kommerziellen Modellen.</w:t>
      </w:r>
    </w:p>
    <w:p>
      <w:r>
        <w:rPr>
          <w:b/>
          <w:sz w:val="19"/>
        </w:rPr>
        <w:t xml:space="preserve">Übertragbarkeit: </w:t>
      </w:r>
      <w:r>
        <w:rPr>
          <w:sz w:val="19"/>
        </w:rPr>
        <w:t>China (Beijing); digitale QS-Anwendung, limitierte direkte Übertragung ohne lokale Validierung</w:t>
      </w:r>
    </w:p>
    <w:p>
      <w:r>
        <w:rPr>
          <w:color w:val="5A7D3A"/>
          <w:sz w:val="18"/>
        </w:rPr>
        <w:t>https://pubmed.ncbi.nlm.nih.gov/42771118/</w:t>
      </w:r>
    </w:p>
    <w:p>
      <w:pPr>
        <w:pStyle w:val="Heading2"/>
      </w:pPr>
      <w:r>
        <w:t>Psychosoziale Arbeitsrisiken treffen Männer und Handwerk stärker – Andalusischer Composite-Index zeigt Unterschiede</w:t>
      </w:r>
    </w:p>
    <w:p>
      <w:r>
        <w:rPr>
          <w:i/>
          <w:color w:val="666666"/>
          <w:sz w:val="18"/>
        </w:rPr>
        <w:t>De Las Heras-Rosas C et al.  ·  J Safety Res  ·  17.07.2026  ·  PMID 42744481</w:t>
      </w:r>
    </w:p>
    <w:p>
      <w:r>
        <w:t>Analyse des II. Andalusischen Arbeitsbedingungs-Survey mit Konstruktion eines Composite-Indikators für psychosoziale Risiken (ACIPR) zur Messung von Unterschieden bei Exposition nach Geschlecht, Firmengröße und Sektor.</w:t>
      </w:r>
    </w:p>
    <w:p>
      <w:r>
        <w:rPr>
          <w:b/>
        </w:rPr>
        <w:t xml:space="preserve">Ergebnis: </w:t>
      </w:r>
      <w:r>
        <w:t>Höhere psychosoziale Risiken bei Männern; Bauwirtschaft zeigte höchstes Risiko; mittlere Firmengrößen hatten niedrigstes Risiko. Unterschiede waren nach Multivariate-Analyse statistisch signifikant nachweisbar.</w:t>
      </w:r>
    </w:p>
    <w:p>
      <w:r>
        <w:rPr>
          <w:b/>
          <w:sz w:val="19"/>
        </w:rPr>
        <w:t xml:space="preserve">Übertragbarkeit: </w:t>
      </w:r>
      <w:r>
        <w:rPr>
          <w:sz w:val="19"/>
        </w:rPr>
        <w:t>Spanien; vergleichbare Arbeitsschutzgesetzgebung, aber andere Branchenstruktur</w:t>
      </w:r>
    </w:p>
    <w:p>
      <w:r>
        <w:rPr>
          <w:color w:val="5A7D3A"/>
          <w:sz w:val="18"/>
        </w:rPr>
        <w:t>https://pubmed.ncbi.nlm.nih.gov/42744481/</w:t>
      </w:r>
    </w:p>
    <w:p>
      <w:pPr>
        <w:pStyle w:val="Heading1"/>
      </w:pPr>
      <w:r>
        <w:t>Aufgenommen am 24.09.2026</w:t>
      </w:r>
    </w:p>
    <w:p>
      <w:pPr>
        <w:pStyle w:val="Heading2"/>
      </w:pPr>
      <w:r>
        <w:t>Probiotika senkten schwere Morbidität bei sehr unreifen Neugeborenen um Zwei Drittel</w:t>
      </w:r>
    </w:p>
    <w:p>
      <w:r>
        <w:rPr>
          <w:i/>
          <w:color w:val="666666"/>
          <w:sz w:val="18"/>
        </w:rPr>
        <w:t>Mitha A et al.  ·  JAMA Netw Open  ·  01.09.2026  ·  PMID 42776528</w:t>
      </w:r>
    </w:p>
    <w:p>
      <w:r>
        <w:t>Analyse von 4.695 sehr unreifen Neugeborenen (28–31+6 Wochen) aus dem schwedischen Qualitätsregister: Vergleich von Multistrainprobiotika (Bifidobacterium infantis, B. lactis, Streptococcus thermophilus) versus Kontrolle.</w:t>
      </w:r>
    </w:p>
    <w:p>
      <w:r>
        <w:rPr>
          <w:b/>
        </w:rPr>
        <w:t xml:space="preserve">Ergebnis: </w:t>
      </w:r>
      <w:r>
        <w:t>Probiotika senkten das zusammengesetzte Ergebnis Tod oder nekrotisierende Enterokolitis von 3,4 % auf 0,8 % (adjustiertes relatives Risiko 0,28; 95%-KI 0,14–0,56). Tod allein sank von 1,4 % auf 0,3 % (aRR 0,16; 95%-KI 0,06–0,45), Enterocolitis von 2,5 % auf 0,6 % (aRR 0,25; 95%-KI 0,10–0,61). Sepsis wurde nicht beeinflusst.</w:t>
      </w:r>
    </w:p>
    <w:p>
      <w:r>
        <w:rPr>
          <w:b/>
          <w:sz w:val="19"/>
        </w:rPr>
        <w:t xml:space="preserve">Übertragbarkeit: </w:t>
      </w:r>
      <w:r>
        <w:rPr>
          <w:sz w:val="19"/>
        </w:rPr>
        <w:t>Schweden, Population-based Register, Kausalitätsfrage dennoch offen bei neuer Empfehlung (2020).</w:t>
      </w:r>
    </w:p>
    <w:p>
      <w:r>
        <w:rPr>
          <w:color w:val="5A7D3A"/>
          <w:sz w:val="18"/>
        </w:rPr>
        <w:t>https://pubmed.ncbi.nlm.nih.gov/42776528/</w:t>
      </w:r>
    </w:p>
    <w:p>
      <w:pPr>
        <w:pStyle w:val="Heading2"/>
      </w:pPr>
      <w:r>
        <w:t>Stevens-Johnson-Syndrom: Kortikosteroide bevorzugt, aber Behandlungspraxis heterogen auch bei Experten</w:t>
      </w:r>
    </w:p>
    <w:p>
      <w:r>
        <w:rPr>
          <w:i/>
          <w:color w:val="666666"/>
          <w:sz w:val="18"/>
        </w:rPr>
        <w:t>Preclaro IA et al.  ·  Acta Derm Venereol  ·  23.09.2026  ·  PMID 42775869</w:t>
      </w:r>
    </w:p>
    <w:p>
      <w:r>
        <w:t>Querschnitts-Umfrage von 48 philippinischen Dermatologen zu Management von SJS/TEN mittels 6 standardisierter klinischer Szenarien; Weighted Scores, Friedman-Tests.</w:t>
      </w:r>
    </w:p>
    <w:p>
      <w:r>
        <w:rPr>
          <w:b/>
        </w:rPr>
        <w:t xml:space="preserve">Ergebnis: </w:t>
      </w:r>
      <w:r>
        <w:t>Kortikosteroide von 85,4 % verwendet; 35,4 % behandelten selektive Fälle mit supportiver Pflege allein. Signifikante Unterschiede in Therapie-Rankings über alle Szenarien (p&lt;0,001). Übereinstimmung groß für einfache, klein für komplexe Fälle (W=0,516 vs. W=0,236). Heterogenität auch unter Experten für komplexe Fälle.</w:t>
      </w:r>
    </w:p>
    <w:p>
      <w:r>
        <w:rPr>
          <w:b/>
          <w:sz w:val="19"/>
        </w:rPr>
        <w:t xml:space="preserve">Übertragbarkeit: </w:t>
      </w:r>
      <w:r>
        <w:rPr>
          <w:sz w:val="19"/>
        </w:rPr>
        <w:t>Philippinen, ressourcenlimitiertes Setting, Befund zur therapeutischen Unsicherheit breit anwendbar.</w:t>
      </w:r>
    </w:p>
    <w:p>
      <w:r>
        <w:rPr>
          <w:color w:val="5A7D3A"/>
          <w:sz w:val="18"/>
        </w:rPr>
        <w:t>https://pubmed.ncbi.nlm.nih.gov/42775869/</w:t>
      </w:r>
    </w:p>
    <w:p>
      <w:pPr>
        <w:pStyle w:val="Heading2"/>
      </w:pPr>
      <w:r>
        <w:t>Händehygiene-Adhärenz von Fachkräften 23 % unter Selbsteinschätzung; Wissen allein verbessert Verhalten nicht</w:t>
      </w:r>
    </w:p>
    <w:p>
      <w:r>
        <w:rPr>
          <w:i/>
          <w:color w:val="666666"/>
          <w:sz w:val="18"/>
        </w:rPr>
        <w:t>Nykvist G et al.  ·  Front Public Health  ·  08.09.2026  ·  PMID 42774319</w:t>
      </w:r>
    </w:p>
    <w:p>
      <w:r>
        <w:t>Querschnittsstudie mit strukturierter Beobachtung, Wissenstest und Fragebogen bei 69 Fachkräften (Pflegekräfte, Ärzte, Assistenten) einer schwedischen Infektionsabteilung über vier Wochen.</w:t>
      </w:r>
    </w:p>
    <w:p>
      <w:r>
        <w:rPr>
          <w:b/>
        </w:rPr>
        <w:t xml:space="preserve">Ergebnis: </w:t>
      </w:r>
      <w:r>
        <w:t>Beobachtete Adhärenz zu Hygiene-Routinen: 76,4 % (±20,2). Selbsteinschätzung aber 92,1 % (±3,3). Wissensmedian 90,9 % (IQR 81,8–97,7); Pflegekräfte signifikant höher als Ärzte. Keine signifikante Korrelation zwischen Wissen und beobachtetem Verhalten. Organisationskultur, nicht Wissen, ist kritisch.</w:t>
      </w:r>
    </w:p>
    <w:p>
      <w:r>
        <w:rPr>
          <w:b/>
          <w:sz w:val="19"/>
        </w:rPr>
        <w:t xml:space="preserve">Übertragbarkeit: </w:t>
      </w:r>
      <w:r>
        <w:rPr>
          <w:sz w:val="19"/>
        </w:rPr>
        <w:t>Schweden, vergleichbare Infektionsprävention, Befund zur Diskrepanz zwischen Wissen und Tun universal.</w:t>
      </w:r>
    </w:p>
    <w:p>
      <w:r>
        <w:rPr>
          <w:color w:val="5A7D3A"/>
          <w:sz w:val="18"/>
        </w:rPr>
        <w:t>https://pubmed.ncbi.nlm.nih.gov/42774319/</w:t>
      </w:r>
    </w:p>
    <w:p>
      <w:pPr>
        <w:pStyle w:val="Heading2"/>
      </w:pPr>
      <w:r>
        <w:t>Medikationsfehler bei Kindern: Vorbereitung/Applikation 68 % aller Fehler mit doppeltem Schwererisiko</w:t>
      </w:r>
    </w:p>
    <w:p>
      <w:r>
        <w:rPr>
          <w:i/>
          <w:color w:val="666666"/>
          <w:sz w:val="18"/>
        </w:rPr>
        <w:t>Hirano D et al.  ·  Eur J Pediatr  ·  23.09.2026  ·  PMID 42773260</w:t>
      </w:r>
    </w:p>
    <w:p>
      <w:r>
        <w:t>Nationale retrospektive Analyse von 546 pädiatrischen Medikationsincidenten aus 12 Jahren (2013–2024) der japanischen Meldedatenbank; Schweregrad ≥3b bei 32,6 %.</w:t>
      </w:r>
    </w:p>
    <w:p>
      <w:r>
        <w:rPr>
          <w:b/>
        </w:rPr>
        <w:t xml:space="preserve">Ergebnis: </w:t>
      </w:r>
      <w:r>
        <w:t>Fehler in Vorbereitung und Applikation (nicht Verschreibung): 67,9 % aller Incidents; diese waren mit höherer Schwere assoziiert (aPR 2,03; 95%-KI 1,38–2,98). Extravasation in 35 Fällen: 82,9 % schwer. Ärzte-Fehler schwerwiegender als Pflege-Fehler (aPR 0,55; 95%-KI 0,42–0,72).</w:t>
      </w:r>
    </w:p>
    <w:p>
      <w:r>
        <w:rPr>
          <w:b/>
          <w:sz w:val="19"/>
        </w:rPr>
        <w:t xml:space="preserve">Übertragbarkeit: </w:t>
      </w:r>
      <w:r>
        <w:rPr>
          <w:sz w:val="19"/>
        </w:rPr>
        <w:t>Japan, Meldedatenbank national, Struktur ähnlich deutschen Qualitätsmeldesystemen.</w:t>
      </w:r>
    </w:p>
    <w:p>
      <w:r>
        <w:rPr>
          <w:color w:val="5A7D3A"/>
          <w:sz w:val="18"/>
        </w:rPr>
        <w:t>https://pubmed.ncbi.nlm.nih.gov/42773260/</w:t>
      </w:r>
    </w:p>
    <w:p>
      <w:pPr>
        <w:pStyle w:val="Heading2"/>
      </w:pPr>
      <w:r>
        <w:t>Niedriger Blutdruck (≤100 mmHg) in ersten 48 h verschlechtert Sepsis-AKI-Prognose: Mortalität verdoppelt bis verdreifacht</w:t>
      </w:r>
    </w:p>
    <w:p>
      <w:r>
        <w:rPr>
          <w:i/>
          <w:color w:val="666666"/>
          <w:sz w:val="18"/>
        </w:rPr>
        <w:t>Sriwalosakul T et al.  ·  Ann Med  ·  22.09.2026  ·  PMID 42768944</w:t>
      </w:r>
    </w:p>
    <w:p>
      <w:r>
        <w:t>Retrospektive Einzelzenter-Kohorte von 476 nicht-kritischen Patienten mit Sepsis-assoziierter akuter Nierenschädigung (2011–2020); mittlerer systolischer Druck in den ersten 48 h kategorisiert.</w:t>
      </w:r>
    </w:p>
    <w:p>
      <w:r>
        <w:rPr>
          <w:b/>
        </w:rPr>
        <w:t xml:space="preserve">Ergebnis: </w:t>
      </w:r>
      <w:r>
        <w:t>Mittlerer systolischer Druck ≤100 mmHg: 80 % erreichten primäres Composite (25 %-GFR-Abfall oder Dialyse oder 1-Jahres-Mortalität) vs. 46–51 % bei höheren Drücken (p&lt;0,001). Angepasste 1-Jahres-Mortalität: HR 2,89 (95%-KI 1,68–4,99); 30-Tage-Mortalität HR 2,79 (95%-KI 1,12–6,96).</w:t>
      </w:r>
    </w:p>
    <w:p>
      <w:r>
        <w:rPr>
          <w:b/>
          <w:sz w:val="19"/>
        </w:rPr>
        <w:t xml:space="preserve">Übertragbarkeit: </w:t>
      </w:r>
      <w:r>
        <w:rPr>
          <w:sz w:val="19"/>
        </w:rPr>
        <w:t>Thailand, Einzelzenter, Blutdruck-Prognostik für Sepsis international vergleichbar.</w:t>
      </w:r>
    </w:p>
    <w:p>
      <w:r>
        <w:rPr>
          <w:color w:val="5A7D3A"/>
          <w:sz w:val="18"/>
        </w:rPr>
        <w:t>https://pubmed.ncbi.nlm.nih.gov/42768944/</w:t>
      </w:r>
    </w:p>
    <w:p>
      <w:pPr>
        <w:pStyle w:val="Heading2"/>
      </w:pPr>
      <w:r>
        <w:t>Ernährungsindex und Inflammation treffen Sepsismortalität besser als SOFA-Score allein</w:t>
      </w:r>
    </w:p>
    <w:p>
      <w:r>
        <w:rPr>
          <w:i/>
          <w:color w:val="666666"/>
          <w:sz w:val="18"/>
        </w:rPr>
        <w:t>Zhang L et al.  ·  BMC Infect Dis  ·  12.08.2026  ·  PMID 42768332</w:t>
      </w:r>
    </w:p>
    <w:p>
      <w:r>
        <w:t>Retrospektive Kohorte: 149 Klinikkranke und 200 MIMIC-IV-Patienten mit Sepsis; Kaplan-Meier, Cox-Regression; Prognoseernährungsindex (PNI) und Neapel-Prognose-Score (NPS).</w:t>
      </w:r>
    </w:p>
    <w:p>
      <w:r>
        <w:rPr>
          <w:b/>
        </w:rPr>
        <w:t xml:space="preserve">Ergebnis: </w:t>
      </w:r>
      <w:r>
        <w:t>Niedrige PNI (&lt;32,1) und hohe NPS unabhängig mit 28-Tage-Mortalität assoziiert. Kombiniertes ROC-Modell (PNI+NPS): AUC 0,805 (klinische Kohorte) und 0,806 (MIMIC). Vorhersagekraft besser als SOFA allein. Kalibrierungskurven zeigten hohe Übereinstimmung.</w:t>
      </w:r>
    </w:p>
    <w:p>
      <w:r>
        <w:rPr>
          <w:b/>
          <w:sz w:val="19"/>
        </w:rPr>
        <w:t xml:space="preserve">Übertragbarkeit: </w:t>
      </w:r>
      <w:r>
        <w:rPr>
          <w:sz w:val="19"/>
        </w:rPr>
        <w:t>China/USA-Datensätze, validiert in zwei unabhängigen Kohorten, Marker international verfügbar.</w:t>
      </w:r>
    </w:p>
    <w:p>
      <w:r>
        <w:rPr>
          <w:color w:val="5A7D3A"/>
          <w:sz w:val="18"/>
        </w:rPr>
        <w:t>https://pubmed.ncbi.nlm.nih.gov/42768332/</w:t>
      </w:r>
    </w:p>
    <w:p>
      <w:pPr>
        <w:pStyle w:val="Heading1"/>
      </w:pPr>
      <w:r>
        <w:t>Aufgenommen am 23.09.2026</w:t>
      </w:r>
    </w:p>
    <w:p>
      <w:pPr>
        <w:pStyle w:val="Heading2"/>
      </w:pPr>
      <w:r>
        <w:t>Antibiotic Stewardship: Unterschiede zwischen Hausärzten, Zahnärzten und Infektiologen in Belgien</w:t>
      </w:r>
    </w:p>
    <w:p>
      <w:r>
        <w:rPr>
          <w:i/>
          <w:color w:val="666666"/>
          <w:sz w:val="18"/>
        </w:rPr>
        <w:t>Mann C et al.  ·  Fam Pract  ·  31.07.2026  ·  PMID 42770645</w:t>
      </w:r>
    </w:p>
    <w:p>
      <w:r>
        <w:t>Querschnittsbefragung von 260 belgischen Akteuren (104 Hausärzte, 103 Zahnärzte, 53 Infektiologen) zu Wahrnehmungen und Verhalten bei Antibiotikaresistenz und unangemessener Verschreibung.</w:t>
      </w:r>
    </w:p>
    <w:p>
      <w:r>
        <w:rPr>
          <w:b/>
        </w:rPr>
        <w:t xml:space="preserve">Ergebnis: </w:t>
      </w:r>
      <w:r>
        <w:t>Etwa 50% der Fachleute gaben unangemessene Verschreibung zu; Haupttreiber waren Präventionssorgen und Komplikationsfurcht. Interdisziplinäre Zusammenarbeit und Bildung wurden als Schlüssellösungen identifiziert; deutliche Wissenslücken zur Antibiotic Stewardship bleiben trotz hohen AMR-Bewusstseins.</w:t>
      </w:r>
    </w:p>
    <w:p>
      <w:r>
        <w:rPr>
          <w:b/>
          <w:sz w:val="19"/>
        </w:rPr>
        <w:t xml:space="preserve">Übertragbarkeit: </w:t>
      </w:r>
      <w:r>
        <w:rPr>
          <w:sz w:val="19"/>
        </w:rPr>
        <w:t>Belgien, vergleichbares europäisches Versicherungs- und Gesundheitssystem.</w:t>
      </w:r>
    </w:p>
    <w:p>
      <w:r>
        <w:rPr>
          <w:color w:val="5A7D3A"/>
          <w:sz w:val="18"/>
        </w:rPr>
        <w:t>https://pubmed.ncbi.nlm.nih.gov/42770645/</w:t>
      </w:r>
    </w:p>
    <w:p>
      <w:pPr>
        <w:pStyle w:val="Heading2"/>
      </w:pPr>
      <w:r>
        <w:t>Gesichtsmasken bei invasiven Eingriffen verhindern postoperative Infektionen nicht</w:t>
      </w:r>
    </w:p>
    <w:p>
      <w:r>
        <w:rPr>
          <w:i/>
          <w:color w:val="666666"/>
          <w:sz w:val="18"/>
        </w:rPr>
        <w:t>Steen K et al.  ·  Tidsskr Nor Laegeforen  ·  22.09.2026  ·  PMID 42770419</w:t>
      </w:r>
    </w:p>
    <w:p>
      <w:r>
        <w:t>Systematische Übersichtsarbeit zu 9 Studien über Nutzen von Mund-Nasen-Schutz bei invasiven chirurgischen Verfahren zur Vermeidung postoperativer Infektionen.</w:t>
      </w:r>
    </w:p>
    <w:p>
      <w:r>
        <w:rPr>
          <w:b/>
        </w:rPr>
        <w:t xml:space="preserve">Ergebnis: </w:t>
      </w:r>
      <w:r>
        <w:t>Acht von neun Studien, darunter die zwei methodisch hochwertigsten, zeigten keinen signifikanten Unterschied in Infektionsraten mit versus ohne Masken; Unterschiede zwischen Gruppen: 1,2% und 3,5%; eine Studie fand höhere Infektionsrate mit Masken – insgesamt unzureichende hochwertige Evidenz.</w:t>
      </w:r>
    </w:p>
    <w:p>
      <w:r>
        <w:rPr>
          <w:b/>
          <w:sz w:val="19"/>
        </w:rPr>
        <w:t xml:space="preserve">Übertragbarkeit: </w:t>
      </w:r>
      <w:r>
        <w:rPr>
          <w:sz w:val="19"/>
        </w:rPr>
        <w:t>Norwegen, Evidenz vom Operationssaal übertragbar auf deutsche Hygienepraxis.</w:t>
      </w:r>
    </w:p>
    <w:p>
      <w:r>
        <w:rPr>
          <w:color w:val="5A7D3A"/>
          <w:sz w:val="18"/>
        </w:rPr>
        <w:t>https://pubmed.ncbi.nlm.nih.gov/42770419/</w:t>
      </w:r>
    </w:p>
    <w:p>
      <w:pPr>
        <w:pStyle w:val="Heading2"/>
      </w:pPr>
      <w:r>
        <w:t>Händehygiene-Monitoring: ethische Lösungen bei klinischer Anwendung</w:t>
      </w:r>
    </w:p>
    <w:p>
      <w:r>
        <w:rPr>
          <w:i/>
          <w:color w:val="666666"/>
          <w:sz w:val="18"/>
        </w:rPr>
        <w:t>Russow F et al.  ·  BMC Med Ethics  ·  22.09.2026  ·  PMID 42768345</w:t>
      </w:r>
    </w:p>
    <w:p>
      <w:r>
        <w:t>Interdisziplinäre Analyse ethischer Konflikte bei automatisiertem Monitoring von Händehygiene im Krankenhaus, mit Fallstudie aus Deutschland (Stralsund).</w:t>
      </w:r>
    </w:p>
    <w:p>
      <w:r>
        <w:rPr>
          <w:b/>
        </w:rPr>
        <w:t xml:space="preserve">Ergebnis: </w:t>
      </w:r>
      <w:r>
        <w:t>Optimierte Implementierungsstrategien minimieren ethische Spannungen zwischen Patientensicherheit und akzeptabler Arbeitsumgebung; partizipative Systementwicklung mit Personal und transparente, nicht-punitive Nutzung kollektiver Daten erhöhen Nutzerakzeptanz und Hygiene-Compliance.</w:t>
      </w:r>
    </w:p>
    <w:p>
      <w:r>
        <w:rPr>
          <w:b/>
          <w:sz w:val="19"/>
        </w:rPr>
        <w:t xml:space="preserve">Übertragbarkeit: </w:t>
      </w:r>
      <w:r>
        <w:rPr>
          <w:sz w:val="19"/>
        </w:rPr>
        <w:t>Deutschland, direkte Anwendung auf deutsche Kliniken und Hygiene-Anforderungen.</w:t>
      </w:r>
    </w:p>
    <w:p>
      <w:r>
        <w:rPr>
          <w:color w:val="5A7D3A"/>
          <w:sz w:val="18"/>
        </w:rPr>
        <w:t>https://pubmed.ncbi.nlm.nih.gov/42768345/</w:t>
      </w:r>
    </w:p>
    <w:p>
      <w:pPr>
        <w:pStyle w:val="Heading2"/>
      </w:pPr>
      <w:r>
        <w:t>Tobramycin-resistenter S. aureus in Neonatalintensivstation: Hygiene und Antibiotikaregime beendeten Ausbruch</w:t>
      </w:r>
    </w:p>
    <w:p>
      <w:r>
        <w:rPr>
          <w:i/>
          <w:color w:val="666666"/>
          <w:sz w:val="18"/>
        </w:rPr>
        <w:t>Jogenfors A et al.  ·  BMC Infect Dis  ·  18.09.2026  ·  PMID 42768321</w:t>
      </w:r>
    </w:p>
    <w:p>
      <w:r>
        <w:t>Zehnjähriger Ausbruch mit resistentem Staphylococcus aureus in schwedischer Neugeborenen-Intensivstation; Interventionen waren Hygienemaßnahmen, Milchpasteurisierung und Wechsel des Antibiotikaregimes von Tobramycin zu Amikacin.</w:t>
      </w:r>
    </w:p>
    <w:p>
      <w:r>
        <w:rPr>
          <w:b/>
        </w:rPr>
        <w:t xml:space="preserve">Ergebnis: </w:t>
      </w:r>
      <w:r>
        <w:t>S.-aureus-Prävalenz sank von 71% (2010–2011) auf 52% (2013) nach Hygiene und Pasteurisierung; die Prävalenz des resistenten Stamms fiel signifikant erst nach Stationsrekonstruktion und Antibiotikaregimewechsel ab – letztlich 2019 apparent ausbabgeheilt, 5 Jahre nach Regimewechsel, mit 0 Sepsis-Fällen danach.</w:t>
      </w:r>
    </w:p>
    <w:p>
      <w:r>
        <w:rPr>
          <w:b/>
          <w:sz w:val="19"/>
        </w:rPr>
        <w:t xml:space="preserve">Übertragbarkeit: </w:t>
      </w:r>
      <w:r>
        <w:rPr>
          <w:sz w:val="19"/>
        </w:rPr>
        <w:t>Schweden, vergleichbares Hygiene- und Intensivmedizin-System, praktische Interventionskombination.</w:t>
      </w:r>
    </w:p>
    <w:p>
      <w:r>
        <w:rPr>
          <w:color w:val="5A7D3A"/>
          <w:sz w:val="18"/>
        </w:rPr>
        <w:t>https://pubmed.ncbi.nlm.nih.gov/42768321/</w:t>
      </w:r>
    </w:p>
    <w:p>
      <w:pPr>
        <w:pStyle w:val="Heading2"/>
      </w:pPr>
      <w:r>
        <w:t>Masking-Effekt in spanischer Arzneimittelüberwachung deckt verborgene Sicherheitssignale auf</w:t>
      </w:r>
    </w:p>
    <w:p>
      <w:r>
        <w:rPr>
          <w:i/>
          <w:color w:val="666666"/>
          <w:sz w:val="18"/>
        </w:rPr>
        <w:t>Sols Cueto N et al.  ·  Eur J Clin Pharmacol  ·  21.09.2026  ·  PMID 42766149</w:t>
      </w:r>
    </w:p>
    <w:p>
      <w:r>
        <w:t>Analyse des Masking-Effekts in der spanischen Spontanmeldedatenbank FEDRA, bei dem extreme Arzneimittel-Ereignis-Kombinationen andere Sicherheitssignale überlagern.</w:t>
      </w:r>
    </w:p>
    <w:p>
      <w:r>
        <w:rPr>
          <w:b/>
        </w:rPr>
        <w:t xml:space="preserve">Ergebnis: </w:t>
      </w:r>
      <w:r>
        <w:t>0,4% (1.211/287.145) der Kombinationen waren einflussreiche Ausreißer; 21% aller Berichte enthielten solche Ausreißer; Ausschluss nach sechs Entmaskungsstrategien erhöhte das untere 95%-Konfidenzintervall bei 14,6–48,1% der Kombinationen und offenbarte bisher verborgene Sicherheitssignale.</w:t>
      </w:r>
    </w:p>
    <w:p>
      <w:r>
        <w:rPr>
          <w:b/>
          <w:sz w:val="19"/>
        </w:rPr>
        <w:t xml:space="preserve">Übertragbarkeit: </w:t>
      </w:r>
      <w:r>
        <w:rPr>
          <w:sz w:val="19"/>
        </w:rPr>
        <w:t>Spanien, methodisch auf europäische Überwachungssysteme übertragbar.</w:t>
      </w:r>
    </w:p>
    <w:p>
      <w:r>
        <w:rPr>
          <w:color w:val="5A7D3A"/>
          <w:sz w:val="18"/>
        </w:rPr>
        <w:t>https://pubmed.ncbi.nlm.nih.gov/42766149/</w:t>
      </w:r>
    </w:p>
    <w:p>
      <w:pPr>
        <w:pStyle w:val="Heading1"/>
      </w:pPr>
      <w:r>
        <w:t>Aufgenommen am 22.09.2026</w:t>
      </w:r>
    </w:p>
    <w:p>
      <w:pPr>
        <w:pStyle w:val="Heading2"/>
      </w:pPr>
      <w:r>
        <w:t>Hämovigilanz-Schulung schafft Lücke zwischen Wissen und Meldeverhalten bei Transfusionsreaktionen</w:t>
      </w:r>
    </w:p>
    <w:p>
      <w:r>
        <w:rPr>
          <w:i/>
          <w:color w:val="666666"/>
          <w:sz w:val="18"/>
        </w:rPr>
        <w:t>K A et al.  ·  BMJ Open  ·  21.09.2026  ·  PMID 42767730</w:t>
      </w:r>
    </w:p>
    <w:p>
      <w:r>
        <w:t>Querschnittsstudie von 150 Assistenzärzten in einer indischen Fachklinik zur Bewertung von Kenntnissen, Einstellungen und Meldepraktiken (KAP) zur Hämovigilanz und nationalen Transfusionssicherheitssystemen.</w:t>
      </w:r>
    </w:p>
    <w:p>
      <w:r>
        <w:rPr>
          <w:b/>
        </w:rPr>
        <w:t xml:space="preserve">Ergebnis: </w:t>
      </w:r>
      <w:r>
        <w:t>Gutes Wissen (Blutkomponenten) und positive Einstellungen, aber niedriges Meldeverhalten. Moderate Korrelation Wissen–Praxis (ρ=0,63), starke Korrelation Einstellung–Praxis (ρ=0,81). 48,5% Bewusstsein für nationales Meldesystem. Strukturierte Schulung und vereinfachte institutionelle Pfade empfohlen.</w:t>
      </w:r>
    </w:p>
    <w:p>
      <w:r>
        <w:rPr>
          <w:b/>
          <w:sz w:val="19"/>
        </w:rPr>
        <w:t xml:space="preserve">Übertragbarkeit: </w:t>
      </w:r>
      <w:r>
        <w:rPr>
          <w:sz w:val="19"/>
        </w:rPr>
        <w:t>Indien, aber grundsätzlich relevante Befunde für Fehlermeldesysteme; Übertragbarkeit auf deutsche Haemovigilance prüfen</w:t>
      </w:r>
    </w:p>
    <w:p>
      <w:r>
        <w:rPr>
          <w:color w:val="5A7D3A"/>
          <w:sz w:val="18"/>
        </w:rPr>
        <w:t>https://pubmed.ncbi.nlm.nih.gov/42767730/</w:t>
      </w:r>
    </w:p>
    <w:p>
      <w:pPr>
        <w:pStyle w:val="Heading2"/>
      </w:pPr>
      <w:r>
        <w:t>Katheterassoziierte Harnwegsinfektionen durch strukturierte Intervention um ein Drittel gesenkt</w:t>
      </w:r>
    </w:p>
    <w:p>
      <w:r>
        <w:rPr>
          <w:i/>
          <w:color w:val="666666"/>
          <w:sz w:val="18"/>
        </w:rPr>
        <w:t>De Prospo T et al.  ·  Assist Inferm Ric  ·  Juli 2026  ·  PMID 42765959</w:t>
      </w:r>
    </w:p>
    <w:p>
      <w:r>
        <w:t>Qualitätsverbesserungsprojekt in einer italienischen Medizinstation, das zwei PDSA-Zyklen mit Audit-Feedback, Schulung und elektronischen Erinnerungssystemen zur Verbesserung der Urinkatheterverwaltung nutzte.</w:t>
      </w:r>
    </w:p>
    <w:p>
      <w:r>
        <w:rPr>
          <w:b/>
        </w:rPr>
        <w:t xml:space="preserve">Ergebnis: </w:t>
      </w:r>
      <w:r>
        <w:t>Die Dokumentation der Katheterentfernung stieg von 59,2% auf 94,8%, die tägliche Neubewertung von 25% auf 89,6%, die Katheterisierungen sanken von 76 auf 58, und die Inzidenz katheterassoziierter Harnwegsinfektionen (CAUTI) sank von 20 auf 13,77 pro 1.000 Kathetertage, ohne statistische Signifikanz.</w:t>
      </w:r>
    </w:p>
    <w:p>
      <w:r>
        <w:rPr>
          <w:b/>
          <w:sz w:val="19"/>
        </w:rPr>
        <w:t xml:space="preserve">Übertragbarkeit: </w:t>
      </w:r>
      <w:r>
        <w:rPr>
          <w:sz w:val="19"/>
        </w:rPr>
        <w:t>Italien, vergleichbares Sozialversicherungssystem; PDSA-Methode übertragbar auf deutsche Kliniken</w:t>
      </w:r>
    </w:p>
    <w:p>
      <w:r>
        <w:rPr>
          <w:color w:val="5A7D3A"/>
          <w:sz w:val="18"/>
        </w:rPr>
        <w:t>https://pubmed.ncbi.nlm.nih.gov/42765959/</w:t>
      </w:r>
    </w:p>
    <w:p>
      <w:pPr>
        <w:pStyle w:val="Heading2"/>
      </w:pPr>
      <w:r>
        <w:t>Passive Beinhebung identifiziert bei Sepsis diejenigen, die keine Flüssigkeiten brauchen, und spart 4 Liter Volumen</w:t>
      </w:r>
    </w:p>
    <w:p>
      <w:r>
        <w:rPr>
          <w:i/>
          <w:color w:val="666666"/>
          <w:sz w:val="18"/>
        </w:rPr>
        <w:t>Gregory J et al.  ·  Nursing  ·  01.10.2026  ·  PMID 42765758</w:t>
      </w:r>
    </w:p>
    <w:p>
      <w:r>
        <w:t>Vergleichende Kohortenstudie von 336 Septikämie-Patienten in der Notaufnahme zur Bestimmung, ob passive Beinhebung mit ETCO₂-Monitoring die Flüssigkeitsresponsivität vorhersagt und Überinfusion reduziert.</w:t>
      </w:r>
    </w:p>
    <w:p>
      <w:r>
        <w:rPr>
          <w:b/>
        </w:rPr>
        <w:t xml:space="preserve">Ergebnis: </w:t>
      </w:r>
      <w:r>
        <w:t>64% der Patienten mit Beinhebung waren negative Flüssigkeitsresponder; diese erhielten weniger Gesamtflüssigkeit (Differenz nicht signifikant, p=0,06). Interventionsgruppe insgesamt erhielt mehr Flüssigkeit (p&lt;0,001), aber Tachykardie war in der Vorher-Gruppe häufiger (p&lt;0,001).</w:t>
      </w:r>
    </w:p>
    <w:p>
      <w:r>
        <w:rPr>
          <w:b/>
          <w:sz w:val="19"/>
        </w:rPr>
        <w:t xml:space="preserve">Übertragbarkeit: </w:t>
      </w:r>
      <w:r>
        <w:rPr>
          <w:sz w:val="19"/>
        </w:rPr>
        <w:t>USA; Methode nicht an Gesundheitssystem gebunden; Prinzip selektiver Flüssigkeitsgabe ist global relevant</w:t>
      </w:r>
    </w:p>
    <w:p>
      <w:r>
        <w:rPr>
          <w:color w:val="5A7D3A"/>
          <w:sz w:val="18"/>
        </w:rPr>
        <w:t>https://pubmed.ncbi.nlm.nih.gov/42765758/</w:t>
      </w:r>
    </w:p>
    <w:p>
      <w:pPr>
        <w:pStyle w:val="Heading2"/>
      </w:pPr>
      <w:r>
        <w:t>Gezielte Deprescribing sturzrisikofördernder Medikamente verhindert Frakturen bei älteren Patienten</w:t>
      </w:r>
    </w:p>
    <w:p>
      <w:r>
        <w:rPr>
          <w:i/>
          <w:color w:val="666666"/>
          <w:sz w:val="18"/>
        </w:rPr>
        <w:t>Schechner M et al.  ·  Age Ageing  ·  04.09.2026  ·  PMID 42765722</w:t>
      </w:r>
    </w:p>
    <w:p>
      <w:r>
        <w:t>Deutsche Kohortenstudie mit 120.867 Personen ≥65 Jahren, die den Nutzen selektiver Stratifizierung sturzrisikofördernder Arzneimittel für die Prävention von sturzassoziierten Hospitalisierungen prüfte.</w:t>
      </w:r>
    </w:p>
    <w:p>
      <w:r>
        <w:rPr>
          <w:b/>
        </w:rPr>
        <w:t xml:space="preserve">Ergebnis: </w:t>
      </w:r>
      <w:r>
        <w:t>Pharmazeutische Untergruppen (SSRIs, ältere Antiepileptika, Anticholinergika) ermöglichten klinisch nützliche Risikodifferenzierung (AUC 0,73), während FRIAR-Klassifikation weniger Prognosewert bot. 2,3% erlebten sturzbedingte Hospitalisierung; gezieltes Review ist effizienter als Breitscreening.</w:t>
      </w:r>
    </w:p>
    <w:p>
      <w:r>
        <w:rPr>
          <w:b/>
          <w:sz w:val="19"/>
        </w:rPr>
        <w:t xml:space="preserve">Übertragbarkeit: </w:t>
      </w:r>
      <w:r>
        <w:rPr>
          <w:sz w:val="19"/>
        </w:rPr>
        <w:t>Deutschland, Daten aus LMU-Klinika; unmittelbar auf deutsche Praxis übertragbar</w:t>
      </w:r>
    </w:p>
    <w:p>
      <w:r>
        <w:rPr>
          <w:color w:val="5A7D3A"/>
          <w:sz w:val="18"/>
        </w:rPr>
        <w:t>https://pubmed.ncbi.nlm.nih.gov/42765722/</w:t>
      </w:r>
    </w:p>
    <w:p>
      <w:pPr>
        <w:pStyle w:val="Heading2"/>
      </w:pPr>
      <w:r>
        <w:t>Intrawund-Vancomycin senkt Infektionsrisiko nach orthopädischen Operationen um 21 Prozent</w:t>
      </w:r>
    </w:p>
    <w:p>
      <w:r>
        <w:rPr>
          <w:i/>
          <w:color w:val="666666"/>
          <w:sz w:val="18"/>
        </w:rPr>
        <w:t>Patel S et al.  ·  BJS Open  ·  04.09.2026  ·  PMID 42765564</w:t>
      </w:r>
    </w:p>
    <w:p>
      <w:r>
        <w:t>Metaanalyse von 22 RCTs mit 8.424 Patienten zur Effektivität von Intrawund-Vancomycin bei der Prävention chirurgischer Wundinfektionen in verschiedenen Eingriffstypen.</w:t>
      </w:r>
    </w:p>
    <w:p>
      <w:r>
        <w:rPr>
          <w:b/>
        </w:rPr>
        <w:t xml:space="preserve">Ergebnis: </w:t>
      </w:r>
      <w:r>
        <w:t>Intrawund-Vancomycin reduzierte Wundinfektionen insgesamt (RR 0,79; 95%-KI 0,64–0,99), besonders gram-positive Infektionen (RR 0,53; 95%-KI 0,35–0,79); NNT 82 bzw. 78. Tiefe/oberflächliche Infektionen, Reoperation, Sterblichkeit und Liegedauer unterschieden sich nicht signifikant.</w:t>
      </w:r>
    </w:p>
    <w:p>
      <w:r>
        <w:rPr>
          <w:b/>
          <w:sz w:val="19"/>
        </w:rPr>
        <w:t xml:space="preserve">Übertragbarkeit: </w:t>
      </w:r>
      <w:r>
        <w:rPr>
          <w:sz w:val="19"/>
        </w:rPr>
        <w:t>Überwiegend europäische und nordamerikanische Studien; moderate Evidenzsicherheit; selektiver Einsatz statt Routineanwendung</w:t>
      </w:r>
    </w:p>
    <w:p>
      <w:r>
        <w:rPr>
          <w:color w:val="5A7D3A"/>
          <w:sz w:val="18"/>
        </w:rPr>
        <w:t>https://pubmed.ncbi.nlm.nih.gov/42765564/</w:t>
      </w:r>
    </w:p>
    <w:p>
      <w:pPr>
        <w:pStyle w:val="Heading2"/>
      </w:pPr>
      <w:r>
        <w:t>Semi-aufrechte Position senkt beatmungsassoziierte Pneumonie um 58 Prozent</w:t>
      </w:r>
    </w:p>
    <w:p>
      <w:r>
        <w:rPr>
          <w:i/>
          <w:color w:val="666666"/>
          <w:sz w:val="18"/>
        </w:rPr>
        <w:t>Jiang W et al.  ·  Cochrane Database Syst Rev  ·  21.09.2026  ·  PMID 42765454</w:t>
      </w:r>
    </w:p>
    <w:p>
      <w:r>
        <w:t>Cochrane-Update mit 48 RCTs und 7.955 Patienten zur Effektivität der semi-aufrechten Position (30–45°) zur Prävention beatmungsassoziierter Pneumonie (VAP) auf Intensivstationen.</w:t>
      </w:r>
    </w:p>
    <w:p>
      <w:r>
        <w:rPr>
          <w:b/>
        </w:rPr>
        <w:t xml:space="preserve">Ergebnis: </w:t>
      </w:r>
      <w:r>
        <w:t>Semi-aufrecht (30–45°) vs. supine: VAP-Reduktion RR 0,42 (95%-KI 0,33–0,52; hohe Evidenzsicherheit), möglich kürzere Beatmungsdauer (MD −3,26 Tage). 30–45° vs. &lt;30°: RR 0,48 (hohe Sicherheit). Höhere Positionen erhöhten Druckgeschwüre; Sterblichkeit unterschied sich nicht.</w:t>
      </w:r>
    </w:p>
    <w:p>
      <w:r>
        <w:rPr>
          <w:b/>
          <w:sz w:val="19"/>
        </w:rPr>
        <w:t xml:space="preserve">Übertragbarkeit: </w:t>
      </w:r>
      <w:r>
        <w:rPr>
          <w:sz w:val="19"/>
        </w:rPr>
        <w:t>Internationale Evidenz, auf deutsche Intensivstationen unmittelbar übertragbar</w:t>
      </w:r>
    </w:p>
    <w:p>
      <w:r>
        <w:rPr>
          <w:color w:val="5A7D3A"/>
          <w:sz w:val="18"/>
        </w:rPr>
        <w:t>https://pubmed.ncbi.nlm.nih.gov/42765454/</w:t>
      </w:r>
    </w:p>
    <w:p>
      <w:pPr>
        <w:pStyle w:val="Heading2"/>
      </w:pPr>
      <w:r>
        <w:t>Weniger begleitende Antiepileptika reduzieren Verträglichkeit von Cenobamat deutlich</w:t>
      </w:r>
    </w:p>
    <w:p>
      <w:r>
        <w:rPr>
          <w:i/>
          <w:color w:val="666666"/>
          <w:sz w:val="18"/>
        </w:rPr>
        <w:t>Steinhoff BJ et al.  ·  Eur J Neurol  ·  Juli 2026  ·  PMID 42496054</w:t>
      </w:r>
    </w:p>
    <w:p>
      <w:r>
        <w:t>Post-hoc-Analyse eines offenen Cenobamat-Trials (n=1.340) mit fokalen Anfällen zur Quantifizierung von Häufigkeit, Schweregrad und Auflösungszeit unerwünschter Ereignisse unter verschiedenen Konkomitanzregimen.</w:t>
      </w:r>
    </w:p>
    <w:p>
      <w:r>
        <w:rPr>
          <w:b/>
        </w:rPr>
        <w:t xml:space="preserve">Ergebnis: </w:t>
      </w:r>
      <w:r>
        <w:t>Schwindel, Somnolenz und Fatigue stiegen mit mehr begleitenden Antiepileptika, besonders kombiniert mit Benzodiazepinen oder ≥2 Natriumkanalblocker. Mediane Auflösungszeit häufiger Ereignisse war kürzer bei weniger Begleitmedikation. Schwere Ereignisse nahmen mit mehr Konkomitanzmedikation zu (außer Kopfschmerz).</w:t>
      </w:r>
    </w:p>
    <w:p>
      <w:r>
        <w:rPr>
          <w:b/>
          <w:sz w:val="19"/>
        </w:rPr>
        <w:t xml:space="preserve">Übertragbarkeit: </w:t>
      </w:r>
      <w:r>
        <w:rPr>
          <w:sz w:val="19"/>
        </w:rPr>
        <w:t>Deutschland, European Journal; Pharmakovigilanz-Ergebnisse sind generalisierbar</w:t>
      </w:r>
    </w:p>
    <w:p>
      <w:r>
        <w:rPr>
          <w:color w:val="5A7D3A"/>
          <w:sz w:val="18"/>
        </w:rPr>
        <w:t>https://pubmed.ncbi.nlm.nih.gov/42496054/</w:t>
      </w:r>
    </w:p>
    <w:p>
      <w:pPr>
        <w:pStyle w:val="Heading1"/>
      </w:pPr>
      <w:r>
        <w:t>Aufgenommen am 21.09.2026</w:t>
      </w:r>
    </w:p>
    <w:p>
      <w:pPr>
        <w:pStyle w:val="Heading2"/>
      </w:pPr>
      <w:r>
        <w:t>Ärzte wünschen sich bessere REMS-Kommunikation und EMR-Integration</w:t>
      </w:r>
    </w:p>
    <w:p>
      <w:r>
        <w:rPr>
          <w:i/>
          <w:color w:val="666666"/>
          <w:sz w:val="18"/>
        </w:rPr>
        <w:t>Zakoul H et al.  ·  Pharmacoepidemiol Drug Saf  ·  Okt. 2026  ·  PMID 42764159</w:t>
      </w:r>
    </w:p>
    <w:p>
      <w:r>
        <w:t>Qualitative Studie mit 50 Ärzten, die Risk Evaluation and Mitigation Strategy (REMS)-Programme für 7 Hochrisikomedikamente anwendeten: semi-strukturierte Interviews zu Verständnis, Nutzen und Kommunikationspräferenzen.</w:t>
      </w:r>
    </w:p>
    <w:p>
      <w:r>
        <w:rPr>
          <w:b/>
        </w:rPr>
        <w:t xml:space="preserve">Ergebnis: </w:t>
      </w:r>
      <w:r>
        <w:t>Ärzte verstanden REMS-Risiken, wünschten sich aber Informationen zu nicht abgedeckten Nebenwirkungen. Manche berichteten Lücken in Enrollmentformularen; viele wünschten EMR-Integration. Bevorzugte Lernform: kurze elektronische Materialien (E-Mails, Videos) statt Papier, mit Benefit-Risk-Zusammenfassungen und Links zu Studien. Materialien sollten zeitnah aktualisiert werden.</w:t>
      </w:r>
    </w:p>
    <w:p>
      <w:r>
        <w:rPr>
          <w:b/>
          <w:sz w:val="19"/>
        </w:rPr>
        <w:t xml:space="preserve">Übertragbarkeit: </w:t>
      </w:r>
      <w:r>
        <w:rPr>
          <w:sz w:val="19"/>
        </w:rPr>
        <w:t>USA - Melde- und Haftungsrecht unterscheiden sich; Sicherheitsbefund zum Informationsbedarf übertragbar</w:t>
      </w:r>
    </w:p>
    <w:p>
      <w:r>
        <w:rPr>
          <w:color w:val="5A7D3A"/>
          <w:sz w:val="18"/>
        </w:rPr>
        <w:t>https://pubmed.ncbi.nlm.nih.gov/42764159/</w:t>
      </w:r>
    </w:p>
    <w:p>
      <w:pPr>
        <w:pStyle w:val="Heading2"/>
      </w:pPr>
      <w:r>
        <w:t>Lokale Hautdesinfektion vor Hüftfrakturchirurgie senkte Wundinfektionen nicht</w:t>
      </w:r>
    </w:p>
    <w:p>
      <w:r>
        <w:rPr>
          <w:i/>
          <w:color w:val="666666"/>
          <w:sz w:val="18"/>
        </w:rPr>
        <w:t>Sterner EM et al.  ·  Int Wound J  ·  Sept. 2026  ·  PMID 42764157</w:t>
      </w:r>
    </w:p>
    <w:p>
      <w:r>
        <w:t>Vergleich von Ganzkörper- vs. lokaler Hautdesinfektion mit Chlorhexidinglucconat vor Hüftfrakturop: 844 Patienten, 90 Tage Nachverfolgung.</w:t>
      </w:r>
    </w:p>
    <w:p>
      <w:r>
        <w:rPr>
          <w:b/>
        </w:rPr>
        <w:t xml:space="preserve">Ergebnis: </w:t>
      </w:r>
      <w:r>
        <w:t>Wundinfektionsrate 1,7%, ohne signifikanten Unterschied zwischen Ganzkörper (1,9%) und lokalen Wipes (1,0%, p&gt;0,05). Chronische Nierenerkrankung war signifikant mit lokalen Infektionen assoziiert (p=0,005). Lokale Hautdesinfektion zeigte vergleichbare Effektivität wie Ganzkörperbehandlung.</w:t>
      </w:r>
    </w:p>
    <w:p>
      <w:r>
        <w:rPr>
          <w:b/>
          <w:sz w:val="19"/>
        </w:rPr>
        <w:t xml:space="preserve">Übertragbarkeit: </w:t>
      </w:r>
      <w:r>
        <w:rPr>
          <w:sz w:val="19"/>
        </w:rPr>
        <w:t>Schweden, vergleichbare Operationsstandards und Infektionsprävention</w:t>
      </w:r>
    </w:p>
    <w:p>
      <w:r>
        <w:rPr>
          <w:color w:val="5A7D3A"/>
          <w:sz w:val="18"/>
        </w:rPr>
        <w:t>https://pubmed.ncbi.nlm.nih.gov/42764157/</w:t>
      </w:r>
    </w:p>
    <w:p>
      <w:pPr>
        <w:pStyle w:val="Heading2"/>
      </w:pPr>
      <w:r>
        <w:t>Nosokomiale Kinderseppen tödlicher als ambulant erworben: Irland 2020-2025</w:t>
      </w:r>
    </w:p>
    <w:p>
      <w:r>
        <w:rPr>
          <w:i/>
          <w:color w:val="666666"/>
          <w:sz w:val="18"/>
        </w:rPr>
        <w:t>Ravichandran N et al.  ·  Eur J Pediatr  ·  19.09.2026  ·  PMID 42763313</w:t>
      </w:r>
    </w:p>
    <w:p>
      <w:r>
        <w:t>Retrospektive Observationsstudie aller kindlichen Sepsisaufnahmen (n=4442) in Irland mit Vergleich nosokomial vs. ambulant erworben und Analyse von Komorbiditäten.</w:t>
      </w:r>
    </w:p>
    <w:p>
      <w:r>
        <w:rPr>
          <w:b/>
        </w:rPr>
        <w:t xml:space="preserve">Ergebnis: </w:t>
      </w:r>
      <w:r>
        <w:t>30,7% nosokomiale, 69,3% ambulant erworbene Sepsis. Nosokomiale Sepsis mit höherer Intensivbetreuung (84,0% vs. 32,3%, p&lt;0,001) und Mortalität (7,6% vs. 1,8%, p&lt;0,001). Komorbiditäten unabhängig assoziiert mit ICU-Aufnahme (adjustiertes OR 2,66–4,88) und Mortalität (OR 7,18), aber schwere Erkrankung auch ohne dokumentierte Komorbiditäten.</w:t>
      </w:r>
    </w:p>
    <w:p>
      <w:r>
        <w:rPr>
          <w:b/>
          <w:sz w:val="19"/>
        </w:rPr>
        <w:t xml:space="preserve">Übertragbarkeit: </w:t>
      </w:r>
      <w:r>
        <w:rPr>
          <w:sz w:val="19"/>
        </w:rPr>
        <w:t>Irland, vergleichbare britische und europäische Kindermedizin</w:t>
      </w:r>
    </w:p>
    <w:p>
      <w:r>
        <w:rPr>
          <w:color w:val="5A7D3A"/>
          <w:sz w:val="18"/>
        </w:rPr>
        <w:t>https://pubmed.ncbi.nlm.nih.gov/42763313/</w:t>
      </w:r>
    </w:p>
    <w:p>
      <w:pPr>
        <w:pStyle w:val="Heading2"/>
      </w:pPr>
      <w:r>
        <w:t>Dendritische Zellen in Sepsis: Depletion, Dysfunktion und fehlende validierte Therapieziele</w:t>
      </w:r>
    </w:p>
    <w:p>
      <w:r>
        <w:rPr>
          <w:i/>
          <w:color w:val="666666"/>
          <w:sz w:val="18"/>
        </w:rPr>
        <w:t>Xu X et al.  ·  Front Immunol  ·  03.09.2026  ·  PMID 42756155</w:t>
      </w:r>
    </w:p>
    <w:p>
      <w:r>
        <w:t>Systematische narrative Übersichtsarbeit zur Rolle dendritischer Zellen in der Sepsisimmunodysregulation, mit kritischer Bewertung von Humanstudien und Tiermodellen zu Mechanismen und therapeutischen Ansätzen.</w:t>
      </w:r>
    </w:p>
    <w:p>
      <w:r>
        <w:rPr>
          <w:b/>
        </w:rPr>
        <w:t xml:space="preserve">Ergebnis: </w:t>
      </w:r>
      <w:r>
        <w:t>Humane Blutdaten zeigen verringerte Anzahl dendritischer Zellen, veränderten Phänotyp und beeinträchtigte Reaktivität. Tierexperimente demonstrieren Depletionen in Milz, Knochemark und Geweben. Vier mögliche Beiträge: Depletion, Dysfunktion, Umverteilung, beeinträchtigte Regeneration. Keine validierten dendritischen-Zellen-Endotypen, Triggerpunkte, Biomarker oder Therapien. Blutbefunde nicht äquivalent zu Tierverstümmellungen. MregDC-Programm: explorativ ohne validiertes menschliches Äquivalent.</w:t>
      </w:r>
    </w:p>
    <w:p>
      <w:r>
        <w:rPr>
          <w:b/>
          <w:sz w:val="19"/>
        </w:rPr>
        <w:t xml:space="preserve">Übertragbarkeit: </w:t>
      </w:r>
      <w:r>
        <w:rPr>
          <w:sz w:val="19"/>
        </w:rPr>
        <w:t>Europäische und kanadische Literatur; konzeptionelle Übersicht ohne operative Messung</w:t>
      </w:r>
    </w:p>
    <w:p>
      <w:r>
        <w:rPr>
          <w:color w:val="5A7D3A"/>
          <w:sz w:val="18"/>
        </w:rPr>
        <w:t>https://pubmed.ncbi.nlm.nih.gov/42756155/</w:t>
      </w:r>
    </w:p>
    <w:p>
      <w:pPr>
        <w:pStyle w:val="Heading2"/>
      </w:pPr>
      <w:r>
        <w:t>Sepsisinduzierte Immunsuppression: Mechanismen und offene Fragen zur Therapie</w:t>
      </w:r>
    </w:p>
    <w:p>
      <w:r>
        <w:rPr>
          <w:i/>
          <w:color w:val="666666"/>
          <w:sz w:val="18"/>
        </w:rPr>
        <w:t>Couwenbergh T et al.  ·  Crit Care Clin  ·  17.06.2026  ·  PMID 42686302</w:t>
      </w:r>
    </w:p>
    <w:p>
      <w:r>
        <w:t>Narrative Übersichtsarbeit zur pathophysiologischen Rolle der Immunsuppression in der Sepsis und zur bisherigen Evidenz für immunmodulierende Therapien (Zytokine, Checkpoint-Inhibitoren, Stammzellen).</w:t>
      </w:r>
    </w:p>
    <w:p>
      <w:r>
        <w:rPr>
          <w:b/>
        </w:rPr>
        <w:t xml:space="preserve">Ergebnis: </w:t>
      </w:r>
      <w:r>
        <w:t>Hauptmechanismen: Funktionsumprograammierung von Myeloidzellen, Lymphozytenverlust, besonders CD4+ und CD8+ T-Zellen. Therapeutische Ansätze (Zytokine, Checkpoint-Inhibitoren, mesenchymale Stammzellen) unter Untersuchung, aber klinische Wirksamkeit unklar. Immunsuppression trägt zu Mortalität, Sekundärinfektionen und Langzeitkomplikationen bei.</w:t>
      </w:r>
    </w:p>
    <w:p>
      <w:r>
        <w:rPr>
          <w:b/>
          <w:sz w:val="19"/>
        </w:rPr>
        <w:t xml:space="preserve">Übertragbarkeit: </w:t>
      </w:r>
      <w:r>
        <w:rPr>
          <w:sz w:val="19"/>
        </w:rPr>
        <w:t>Niederlande, europäische Intensivmedizin; konzeptionelle Übersicht ohne Messung einer Intervention</w:t>
      </w:r>
    </w:p>
    <w:p>
      <w:r>
        <w:rPr>
          <w:color w:val="5A7D3A"/>
          <w:sz w:val="18"/>
        </w:rPr>
        <w:t>https://pubmed.ncbi.nlm.nih.gov/42686302/</w:t>
      </w:r>
    </w:p>
    <w:p>
      <w:pPr>
        <w:pStyle w:val="Heading1"/>
      </w:pPr>
      <w:r>
        <w:t>Aufgenommen am 20.09.2026</w:t>
      </w:r>
    </w:p>
    <w:p>
      <w:pPr>
        <w:pStyle w:val="Heading2"/>
      </w:pPr>
      <w:r>
        <w:t>Selbstbetreuung und Antibiotikaresistenz: Empfehlungen für nationale Programme und Selbstversorger</w:t>
      </w:r>
    </w:p>
    <w:p>
      <w:r>
        <w:rPr>
          <w:i/>
          <w:color w:val="666666"/>
          <w:sz w:val="18"/>
        </w:rPr>
        <w:t>Kiggundu R et al.  ·  Front Public Health  ·  03.09.2026  ·  PMID 42755611</w:t>
      </w:r>
    </w:p>
    <w:p>
      <w:r>
        <w:t>Narrative Übersichtsarbeit untersucht fünf Kernstrategien der Selbstbetreuung zur Eindämmung der Antibiotikaresistenz: Aufklärung, Schnelltests, gelenkte Selbstbehandlung, digitale Selbstüberwachung und strukturiertes Selbstmanagement.</w:t>
      </w:r>
    </w:p>
    <w:p>
      <w:r>
        <w:rPr>
          <w:b/>
        </w:rPr>
        <w:t xml:space="preserve">Ergebnis: </w:t>
      </w:r>
      <w:r>
        <w:t>Selbstbetreuungsstrategien ermöglichen frühe Infektionserkennung, fördern angemessene Antibiotikaanwendung und entlasten Gesundheitssysteme. Implementierung gehindert durch begrenzte Zugang zu zuverlässiger AMR-Information, Missdiagnose-Risiken, Datenschutzbedenken und Verhaltenschwierigkeiten. Policymaker sollten Richtlinienintegration, standardisierte Vorgaben, Regulation und Infrastrukturentwicklung priorisieren.</w:t>
      </w:r>
    </w:p>
    <w:p>
      <w:r>
        <w:rPr>
          <w:b/>
          <w:sz w:val="19"/>
        </w:rPr>
        <w:t xml:space="preserve">Übertragbarkeit: </w:t>
      </w:r>
      <w:r>
        <w:rPr>
          <w:sz w:val="19"/>
        </w:rPr>
        <w:t>Leitfaden für LMIC-Kontexte; Übertragbarkeit auf deutsche Strukturen gering</w:t>
      </w:r>
    </w:p>
    <w:p>
      <w:r>
        <w:rPr>
          <w:color w:val="5A7D3A"/>
          <w:sz w:val="18"/>
        </w:rPr>
        <w:t>https://pubmed.ncbi.nlm.nih.gov/42755611/</w:t>
      </w:r>
    </w:p>
    <w:p>
      <w:pPr>
        <w:pStyle w:val="Heading2"/>
      </w:pPr>
      <w:r>
        <w:t>Strukturierter Patientensicherheitskurs erhöht Wissen und systemisches Denken bei ärztlichen Jungfachkräften um signifikante Anteile</w:t>
      </w:r>
    </w:p>
    <w:p>
      <w:r>
        <w:rPr>
          <w:i/>
          <w:color w:val="666666"/>
          <w:sz w:val="18"/>
        </w:rPr>
        <w:t>Qureshi MFH et al.  ·  BMC Med Educ  ·  22.07.2026  ·  PMID 42754882</w:t>
      </w:r>
    </w:p>
    <w:p>
      <w:r>
        <w:t>Quasiexperimentelle Studie untersucht Effektivität eines Qualitäts- und Patientensicherheitsmoduls bei 166 postgraduierten ärztlichen Interns an einem tertären Krankenhaus in Pakistan.</w:t>
      </w:r>
    </w:p>
    <w:p>
      <w:r>
        <w:rPr>
          <w:b/>
        </w:rPr>
        <w:t xml:space="preserve">Ergebnis: </w:t>
      </w:r>
      <w:r>
        <w:t>Signifikante Verbesserungen nach Intervention: Testwissensscores, systemisches Denken und Wissenswirksamkeit verbesserten sich über alle Kohorten (p &lt; 0,001). Verbesserungen besonders ausgeprägt bei Interns ohne vorherige Sicherheitsschulung. Qualitative Reflexionen zeigten verbesserte Zuversicht, Teamarbeit und systemorientierte Perspektiven. Strukturierte Kurse sind wirksam, auch ohne Vorkenntnisse.</w:t>
      </w:r>
    </w:p>
    <w:p>
      <w:r>
        <w:rPr>
          <w:b/>
          <w:sz w:val="19"/>
        </w:rPr>
        <w:t xml:space="preserve">Übertragbarkeit: </w:t>
      </w:r>
      <w:r>
        <w:rPr>
          <w:sz w:val="19"/>
        </w:rPr>
        <w:t>Pakistan (LMIC), Modell adaptierbar auf deutsche ärztliche Ausbildung</w:t>
      </w:r>
    </w:p>
    <w:p>
      <w:r>
        <w:rPr>
          <w:color w:val="5A7D3A"/>
          <w:sz w:val="18"/>
        </w:rPr>
        <w:t>https://pubmed.ncbi.nlm.nih.gov/42754882/</w:t>
      </w:r>
    </w:p>
    <w:p>
      <w:pPr>
        <w:pStyle w:val="Heading2"/>
      </w:pPr>
      <w:r>
        <w:t>Antibiofilm-beschichtete Verriegelungsnägel senken Fraktionsinfektion auf 5,8 % bei risikoreichen Knochenbrüchen</w:t>
      </w:r>
    </w:p>
    <w:p>
      <w:r>
        <w:rPr>
          <w:i/>
          <w:color w:val="666666"/>
          <w:sz w:val="18"/>
        </w:rPr>
        <w:t>Vicenti G et al.  ·  J Orthop Traumatol  ·  16.09.2026  ·  PMID 42752738</w:t>
      </w:r>
    </w:p>
    <w:p>
      <w:r>
        <w:t>Observationsstudie untersucht klinische Wirksamkeit einer antibakteriell beschichteten Verriegelungsnagel bei hochrisiko-tibialen und femoralen Frakturen an 103 Patienten.</w:t>
      </w:r>
    </w:p>
    <w:p>
      <w:r>
        <w:rPr>
          <w:b/>
        </w:rPr>
        <w:t xml:space="preserve">Ergebnis: </w:t>
      </w:r>
      <w:r>
        <w:t>Fraktionsinfektion trat in 5,8 % der Fälle auf (6/103 Patienten: 7,3 % tibial, 4,2 % femoral). Alle Infektionen wurden ohne Sepsis oder Amputation erfolgreich behandelt. Knochenbruchverkeilung in 94,5 % tibial und 95,8 % femoral erreicht. Die Beschichtung könnte ein vielversprechender Ansatz sein, erfordert aber prospektive kontrollierte Studien zur Bestätigung.</w:t>
      </w:r>
    </w:p>
    <w:p>
      <w:r>
        <w:rPr>
          <w:b/>
          <w:sz w:val="19"/>
        </w:rPr>
        <w:t xml:space="preserve">Übertragbarkeit: </w:t>
      </w:r>
      <w:r>
        <w:rPr>
          <w:sz w:val="19"/>
        </w:rPr>
        <w:t>Deutschland und deutschsprachiger Raum, vergleichbare Traumatologiestudards</w:t>
      </w:r>
    </w:p>
    <w:p>
      <w:r>
        <w:rPr>
          <w:color w:val="5A7D3A"/>
          <w:sz w:val="18"/>
        </w:rPr>
        <w:t>https://pubmed.ncbi.nlm.nih.gov/42752738/</w:t>
      </w:r>
    </w:p>
    <w:p>
      <w:pPr>
        <w:pStyle w:val="Heading2"/>
      </w:pPr>
      <w:r>
        <w:t>Deterministische und stochastische Interventionen bei Medikamenteninteraktionen: Systemische Grenzen und Hybrid-Ansätze nötig</w:t>
      </w:r>
    </w:p>
    <w:p>
      <w:r>
        <w:rPr>
          <w:i/>
          <w:color w:val="666666"/>
          <w:sz w:val="18"/>
        </w:rPr>
        <w:t>Ahmad Zuber MF et al.  ·  PLoS One  ·  17.09.2026  ·  PMID 42752658</w:t>
      </w:r>
    </w:p>
    <w:p>
      <w:r>
        <w:t>Systematische Übersichtsarbeit evaluiert computergestützte oder klinische Entscheidungsunterstützungs-Interventionen zur Reduktion von Arzneimittelwechselwirkungen oder unangemessener Verschreibung gemäß PRISMA 2020-Richtlinien.</w:t>
      </w:r>
    </w:p>
    <w:p>
      <w:r>
        <w:rPr>
          <w:b/>
        </w:rPr>
        <w:t xml:space="preserve">Ergebnis: </w:t>
      </w:r>
      <w:r>
        <w:t>Zehn Studien eingeschlossen. Frühe deterministische Systeme zeigten bescheidene Verbesserungen bei Verschreibungsprozessen, aber inkonsistente Links zu Patientenergebnissen. Neuere stochastische/generative Modelle berichten starke interne Performance-Metriken, aber hohes Bias-Risiko bei der Validierung, unzureichende externe Validierung, mangelnde Overfitting-Kontrolle. Deterministische Systeme bieten Transparenz, aber keine Anpassung an Patientenkontexte. Hybrid-Architekturen mit validierten stochastischen und erklärbar regelgestützten Komponenten sind erforderlich.</w:t>
      </w:r>
    </w:p>
    <w:p>
      <w:r>
        <w:rPr>
          <w:b/>
          <w:sz w:val="19"/>
        </w:rPr>
        <w:t xml:space="preserve">Übertragbarkeit: </w:t>
      </w:r>
      <w:r>
        <w:rPr>
          <w:sz w:val="19"/>
        </w:rPr>
        <w:t>Internationale Übersicht, Designprinzipien auf Deutschland anwendbar</w:t>
      </w:r>
    </w:p>
    <w:p>
      <w:r>
        <w:rPr>
          <w:color w:val="5A7D3A"/>
          <w:sz w:val="18"/>
        </w:rPr>
        <w:t>https://pubmed.ncbi.nlm.nih.gov/42752658/</w:t>
      </w:r>
    </w:p>
    <w:p>
      <w:pPr>
        <w:pStyle w:val="Heading2"/>
      </w:pPr>
      <w:r>
        <w:t>Intelligentes Katheter-Warnsystem reduziert ungeplante Extubation um 41 bis 48 Prozent</w:t>
      </w:r>
    </w:p>
    <w:p>
      <w:r>
        <w:rPr>
          <w:i/>
          <w:color w:val="666666"/>
          <w:sz w:val="18"/>
        </w:rPr>
        <w:t>Lu Y et al.  ·  Health Informatics J  ·  17.09.2026  ·  PMID 42752222</w:t>
      </w:r>
    </w:p>
    <w:p>
      <w:r>
        <w:t>Vorher-nachher-Studie in tertärem Krankenhaus evaluiert intelligentes Katheter-Risikowarn-System mit integrierter Pflege, Wartungsübersicht und QR-Patienten-Aufklärung bei 205 Pflegekräften und Patienten mit Katheter.</w:t>
      </w:r>
    </w:p>
    <w:p>
      <w:r>
        <w:rPr>
          <w:b/>
        </w:rPr>
        <w:t xml:space="preserve">Ergebnis: </w:t>
      </w:r>
      <w:r>
        <w:t>Ungeplante Nasenmagen-Schlauch-Entfernung sank von 0,852 ‰ auf 0,501 ‰ (-41 %). Ungeplante Blasenkatheter-Entfernung sank von 0,219 ‰ auf 0,114 ‰ (-48 %). PSSUQ-Scores und Pflegezufriedenheit verbesserten sich signifikant (p &lt; 0,001). Beschriftungsfehler reduzierten sich. System verbessert dokumentierbar Patientensicherheit bei Katheterpflege.</w:t>
      </w:r>
    </w:p>
    <w:p>
      <w:r>
        <w:rPr>
          <w:b/>
          <w:sz w:val="19"/>
        </w:rPr>
        <w:t xml:space="preserve">Übertragbarkeit: </w:t>
      </w:r>
      <w:r>
        <w:rPr>
          <w:sz w:val="19"/>
        </w:rPr>
        <w:t>China, technisches System; Prinzip auf deutsche Kliniken übertragbar</w:t>
      </w:r>
    </w:p>
    <w:p>
      <w:r>
        <w:rPr>
          <w:color w:val="5A7D3A"/>
          <w:sz w:val="18"/>
        </w:rPr>
        <w:t>https://pubmed.ncbi.nlm.nih.gov/42752222/</w:t>
      </w:r>
    </w:p>
    <w:p>
      <w:pPr>
        <w:pStyle w:val="Heading2"/>
      </w:pPr>
      <w:r>
        <w:t>Nosokomiale Infektionen nach Gesichtsverletzungen im Kriegseinsatz: 40,9 % Rate bei 2.631 ukrainischen Patienten</w:t>
      </w:r>
    </w:p>
    <w:p>
      <w:r>
        <w:rPr>
          <w:i/>
          <w:color w:val="666666"/>
          <w:sz w:val="18"/>
        </w:rPr>
        <w:t>Salmanov AG et al.  ·  Wiad Lek  ·  2026  ·  PMID 42748302</w:t>
      </w:r>
    </w:p>
    <w:p>
      <w:r>
        <w:t>Multizentrische prospektive Beobachtungsstudie untersucht nosokomiale Infektionen nach kiefer-oralchirurgischen Verfahren bei Patienten mit kampfbezogenen Kopf- und Halsverletzungen 2022–2025 in der Ukraine.</w:t>
      </w:r>
    </w:p>
    <w:p>
      <w:r>
        <w:rPr>
          <w:b/>
        </w:rPr>
        <w:t xml:space="preserve">Ergebnis: </w:t>
      </w:r>
      <w:r>
        <w:t>Unter 2.631 Patienten entwickelten 40,9 % (1.075) nosokomiale Infektionen. Häufigste Typ: chirurgische Infektionen 54 %, Knochen-Gelenk-Infektionen 14,2 %, Pneumonie 12,2 %, Harnwegsinfektionen 8,6 %, Sepsis 6,6 %. Risikofaktoren: Intensivaufenthalt, Intubation, Katheter. Hohes Infektionsaufkommen unter Bedingungen extremer Verletzungsschwere zeigt Grenzen der Infektionsprävention auf.</w:t>
      </w:r>
    </w:p>
    <w:p>
      <w:r>
        <w:rPr>
          <w:b/>
          <w:sz w:val="19"/>
        </w:rPr>
        <w:t xml:space="preserve">Übertragbarkeit: </w:t>
      </w:r>
      <w:r>
        <w:rPr>
          <w:sz w:val="19"/>
        </w:rPr>
        <w:t>Osteuropa unter Kriegsbedingungen, begrenzte Übertragbarkeit auf Standards</w:t>
      </w:r>
    </w:p>
    <w:p>
      <w:r>
        <w:rPr>
          <w:color w:val="5A7D3A"/>
          <w:sz w:val="18"/>
        </w:rPr>
        <w:t>https://pubmed.ncbi.nlm.nih.gov/42748302/</w:t>
      </w:r>
    </w:p>
    <w:p>
      <w:pPr>
        <w:pStyle w:val="Heading1"/>
      </w:pPr>
      <w:r>
        <w:t>Aufgenommen am 19.09.2026</w:t>
      </w:r>
    </w:p>
    <w:p>
      <w:pPr>
        <w:pStyle w:val="Heading2"/>
      </w:pPr>
      <w:r>
        <w:t>ADRe-Profil senkte Medikationsprobleme bei älteren Patienten um 82%</w:t>
      </w:r>
    </w:p>
    <w:p>
      <w:r>
        <w:rPr>
          <w:i/>
          <w:color w:val="666666"/>
          <w:sz w:val="18"/>
        </w:rPr>
        <w:t>Logan V et al.  ·  PLoS One  ·  18.09.2026  ·  PMID 42758689</w:t>
      </w:r>
    </w:p>
    <w:p>
      <w:r>
        <w:t>Cluster-randomisierte Studie zur Frage, ob ein Adverse Drug Reaction Profile bei Patienten ≥65 Jahren mit über 4 Dauermedikationen in der Hausarztpraxis unerwünschte Arzneimittelwirkungen und Polypharmzie-Probleme reduziert.</w:t>
      </w:r>
    </w:p>
    <w:p>
      <w:r>
        <w:rPr>
          <w:b/>
        </w:rPr>
        <w:t xml:space="preserve">Ergebnis: </w:t>
      </w:r>
      <w:r>
        <w:t>82% der Interventionsgruppe (22/27 Patienten) hatten mindestens ein bearbeitetes Problem vs. 35% der Kontrollgruppe (11/30), adjustierte Odds Ratio 7,48 (95%-KI 1,99–28,10). B12-Mangel und Flecainide-Demedikation wurden kritisch erkannt; weniger Schmerzberichte in der Interventionsgruppe.</w:t>
      </w:r>
    </w:p>
    <w:p>
      <w:r>
        <w:rPr>
          <w:b/>
          <w:sz w:val="19"/>
        </w:rPr>
        <w:t xml:space="preserve">Übertragbarkeit: </w:t>
      </w:r>
      <w:r>
        <w:rPr>
          <w:sz w:val="19"/>
        </w:rPr>
        <w:t>Großbritannien/Wales, vergleichbare primärärztliche Dokumentation und Polypharmzie-Problematik</w:t>
      </w:r>
    </w:p>
    <w:p>
      <w:r>
        <w:rPr>
          <w:color w:val="5A7D3A"/>
          <w:sz w:val="18"/>
        </w:rPr>
        <w:t>https://pubmed.ncbi.nlm.nih.gov/42758689/</w:t>
      </w:r>
    </w:p>
    <w:p>
      <w:pPr>
        <w:pStyle w:val="Heading2"/>
      </w:pPr>
      <w:r>
        <w:t>Sieben unabhängige Risikofaktoren für Druckgeschwüre nach Hüftfrakturchirurgie</w:t>
      </w:r>
    </w:p>
    <w:p>
      <w:r>
        <w:rPr>
          <w:i/>
          <w:color w:val="666666"/>
          <w:sz w:val="18"/>
        </w:rPr>
        <w:t>Zhao Y et al.  ·  J Wound Ostomy Continence Nurs  ·  Sept. 2026  ·  PMID 42758160</w:t>
      </w:r>
    </w:p>
    <w:p>
      <w:r>
        <w:t>US-amerikanische Beobachtungsstudie mit 14.523 Hüftfrakturpatienten (2019) aus der NSQIP-Datenbank zur Identifizierung unabhängiger Risikofaktoren für nosokomiale Druckgeschwüre nach operativer Versorgung.</w:t>
      </w:r>
    </w:p>
    <w:p>
      <w:r>
        <w:rPr>
          <w:b/>
        </w:rPr>
        <w:t xml:space="preserve">Ergebnis: </w:t>
      </w:r>
      <w:r>
        <w:t>4,3% entwickelten mindestens ein Druckgeschwür (628/14.523). Unabhängige Risikofaktoren: Alter &gt;70 Jahre (OR 1,488), BMI &lt;18,5 kg/m² (OR 1,347), Gewichtsverlust &gt;10% in 6 Monaten (OR 2,775), Mobilitätshilfe präoperativ (OR 1,833), Insulinabhängigkeit (OR 1,753), BUN &gt;24 mg/dL (OR 1,634), Aufnahme-zu-OP-Intervall &gt;1 Tag (OR 1,400).</w:t>
      </w:r>
    </w:p>
    <w:p>
      <w:r>
        <w:rPr>
          <w:b/>
          <w:sz w:val="19"/>
        </w:rPr>
        <w:t xml:space="preserve">Übertragbarkeit: </w:t>
      </w:r>
      <w:r>
        <w:rPr>
          <w:sz w:val="19"/>
        </w:rPr>
        <w:t>USA, aber Risikofaktor-Profil und NSQIP-Methodik in deutschen Kliniken anwendbar</w:t>
      </w:r>
    </w:p>
    <w:p>
      <w:r>
        <w:rPr>
          <w:color w:val="5A7D3A"/>
          <w:sz w:val="18"/>
        </w:rPr>
        <w:t>https://pubmed.ncbi.nlm.nih.gov/42758160/</w:t>
      </w:r>
    </w:p>
    <w:p>
      <w:pPr>
        <w:pStyle w:val="Heading2"/>
      </w:pPr>
      <w:r>
        <w:t>Tuberkulose-Infektionskontroll-Plan: 70% Compliance aber massive Governance-Lücken</w:t>
      </w:r>
    </w:p>
    <w:p>
      <w:r>
        <w:rPr>
          <w:i/>
          <w:color w:val="666666"/>
          <w:sz w:val="18"/>
        </w:rPr>
        <w:t>Espinosa M et al.  ·  Biomedica  ·  20.08.2026  ·  PMID 42757801</w:t>
      </w:r>
    </w:p>
    <w:p>
      <w:r>
        <w:t>Evaluative Studie mit Mixed-Methods in Cali, Kolumbien zur Bewertung der institutionellen Kapazitäten eines seit 2016 implementierten Tuberkulose-Infektionskontroll-Plans in Gesundheitseinrichtungen mit TB-Programmen.</w:t>
      </w:r>
    </w:p>
    <w:p>
      <w:r>
        <w:rPr>
          <w:b/>
        </w:rPr>
        <w:t xml:space="preserve">Ergebnis: </w:t>
      </w:r>
      <w:r>
        <w:t>Durchschnittliches Compliance: 70,8% administrative Maßnahmen, 62,1% Umweltkon trolle, 90,5% Atemschutz. Mängel: fehlender nationaler Rahmen, hohe Personalfluktuation, unzureichende Schulung, Investitionslücken, mangelnde Überwachung arbeitsbezogener TB. Stärken: Erfassung symptomatischer Atemwegspatienten, Verfügbarkeit von Schutzausrüstung.</w:t>
      </w:r>
    </w:p>
    <w:p>
      <w:r>
        <w:rPr>
          <w:b/>
          <w:sz w:val="19"/>
        </w:rPr>
        <w:t xml:space="preserve">Übertragbarkeit: </w:t>
      </w:r>
      <w:r>
        <w:rPr>
          <w:sz w:val="19"/>
        </w:rPr>
        <w:t>Kolumbien, aber Struktur-Gap-Analyse für Infektionskontroll-Programme übertragbar auf Schwellenländer</w:t>
      </w:r>
    </w:p>
    <w:p>
      <w:r>
        <w:rPr>
          <w:color w:val="5A7D3A"/>
          <w:sz w:val="18"/>
        </w:rPr>
        <w:t>https://pubmed.ncbi.nlm.nih.gov/42757801/</w:t>
      </w:r>
    </w:p>
    <w:p>
      <w:pPr>
        <w:pStyle w:val="Heading2"/>
      </w:pPr>
      <w:r>
        <w:t>Stromausfälle durch Treibstoffmangel: Kaskadierende Patientensicherheits-Ausfälle in Konflikt-Szenarios</w:t>
      </w:r>
    </w:p>
    <w:p>
      <w:r>
        <w:rPr>
          <w:i/>
          <w:color w:val="666666"/>
          <w:sz w:val="18"/>
        </w:rPr>
        <w:t>Warrier AR et al.  ·  BMJ Open Qual  ·  17.09.2026  ·  PMID 42754290</w:t>
      </w:r>
    </w:p>
    <w:p>
      <w:r>
        <w:t>Proaktive Fehlermodalitäts- und Effektanalyse (FMEA) an 455-Bett-Klinik Südindien zur Modellierung von Patientensicherheitsrisiken bei akutem Treibstoff-/Flüssiggasausfall in geopolitischem Konflikt-Szenario.</w:t>
      </w:r>
    </w:p>
    <w:p>
      <w:r>
        <w:rPr>
          <w:b/>
        </w:rPr>
        <w:t xml:space="preserve">Ergebnis: </w:t>
      </w:r>
      <w:r>
        <w:t>62 Fehlerszenarien: 5 kritisch (RPNs ≥200), 17 hoch (150–199), 34 mittel (100–149), 6 niedrig (&lt;100). Generator/Stromversorgung Mittelwert RPN 171,0 = Systemamplifikator. Wäscherei (OP/ICU-Wäsche-Sterilisation): höchstes Einzelrisiko RPN 240. Küche LPG-abhängig: durchschnittlich 163,4.</w:t>
      </w:r>
    </w:p>
    <w:p>
      <w:r>
        <w:rPr>
          <w:b/>
          <w:sz w:val="19"/>
        </w:rPr>
        <w:t xml:space="preserve">Übertragbarkeit: </w:t>
      </w:r>
      <w:r>
        <w:rPr>
          <w:sz w:val="19"/>
        </w:rPr>
        <w:t>Indien, aber Kaskadenanalyse und Ausfallmuster sind für deutsche Krankenhäuser in Krisenszenarios anwendbar</w:t>
      </w:r>
    </w:p>
    <w:p>
      <w:r>
        <w:rPr>
          <w:color w:val="5A7D3A"/>
          <w:sz w:val="18"/>
        </w:rPr>
        <w:t>https://pubmed.ncbi.nlm.nih.gov/42754290/</w:t>
      </w:r>
    </w:p>
    <w:p>
      <w:pPr>
        <w:pStyle w:val="Heading2"/>
      </w:pPr>
      <w:r>
        <w:t>Mangelhaft vermitteltes Management-Support gefährdet psychologische Genesung nach Arbeitsverletzung</w:t>
      </w:r>
    </w:p>
    <w:p>
      <w:r>
        <w:rPr>
          <w:i/>
          <w:color w:val="666666"/>
          <w:sz w:val="18"/>
        </w:rPr>
        <w:t>Dawson A et al.  ·  J Safety Res  ·  26.05.2026  ·  PMID 42744463</w:t>
      </w:r>
    </w:p>
    <w:p>
      <w:r>
        <w:t>Zwei britische Querschnittsstudien mit Eisenbahnwerkstatt-Mitarbeitern (N₁=264, N₂=117), ob organisationale Sicherheitsunterstützung durch Vorgesetzte die psychische Belastung und emotionales Wohlbefinden nach beruflicher Verletzung moderiert.</w:t>
      </w:r>
    </w:p>
    <w:p>
      <w:r>
        <w:rPr>
          <w:b/>
        </w:rPr>
        <w:t xml:space="preserve">Ergebnis: </w:t>
      </w:r>
      <w:r>
        <w:t>Support von direkten Vorgesetzten und Kollegen moderierte nicht. Support des Top-Managements zeigte bei häufigeren Verletzungen kontraintuitiv: höhere wahrgenommene Unterstützung war mit niedrigerem positiven Affekt assoziiert – Effekt der Glaubwürdigkeitslücke zwischen symbolischer und gelebter Praxis.</w:t>
      </w:r>
    </w:p>
    <w:p>
      <w:r>
        <w:rPr>
          <w:b/>
          <w:sz w:val="19"/>
        </w:rPr>
        <w:t xml:space="preserve">Übertragbarkeit: </w:t>
      </w:r>
      <w:r>
        <w:rPr>
          <w:sz w:val="19"/>
        </w:rPr>
        <w:t>Großbritannien, Eisenbahn-Sicherheitskultur, aber Befund zu Vertrauensdefiziten ist systemübergreifend</w:t>
      </w:r>
    </w:p>
    <w:p>
      <w:r>
        <w:rPr>
          <w:color w:val="5A7D3A"/>
          <w:sz w:val="18"/>
        </w:rPr>
        <w:t>https://pubmed.ncbi.nlm.nih.gov/42744463/</w:t>
      </w:r>
    </w:p>
    <w:p>
      <w:pPr>
        <w:pStyle w:val="Heading2"/>
      </w:pPr>
      <w:r>
        <w:t>Verzögerte Entlassungsberichte zeigten keinen Sicherheitseffekt nach Pneumonie-Hospitalisierung</w:t>
      </w:r>
    </w:p>
    <w:p>
      <w:r>
        <w:rPr>
          <w:i/>
          <w:color w:val="666666"/>
          <w:sz w:val="18"/>
        </w:rPr>
        <w:t>Danjou A et al.  ·  Int J Qual Health Care  ·  08.07.2026  ·  PMID 42623130</w:t>
      </w:r>
    </w:p>
    <w:p>
      <w:r>
        <w:t>Französische Kohortenstudie zu 1004 Patienten nach Hospitalisierung wegen ambulant erworbener Lungenentzündung, ob das Fehlen einer am Entlasstag erstellten Entlassdokumentation die 30-Tage-Mortalität und Wiederaufnahmen erhöht.</w:t>
      </w:r>
    </w:p>
    <w:p>
      <w:r>
        <w:rPr>
          <w:b/>
        </w:rPr>
        <w:t xml:space="preserve">Ergebnis: </w:t>
      </w:r>
      <w:r>
        <w:t>Entlassdokumentation lag bei 30% am Entlasstag vor (305/1004). Nach Propensity-Score-Gewichtung: unerwünschte Ereignisse 12% vs. 14% (OR 1,12; 95%-KI 0,72–1,75), Wiederaufnahmen 9,6% vs. 10% (OR 1,09; 95%-KI 0,65–1,84), Mortalität 6,9% vs. 4,3% (OR 0,61; 95%-KI 0,31–1,21) – kein signifikanter Unterschied.</w:t>
      </w:r>
    </w:p>
    <w:p>
      <w:r>
        <w:rPr>
          <w:b/>
          <w:sz w:val="19"/>
        </w:rPr>
        <w:t xml:space="preserve">Übertragbarkeit: </w:t>
      </w:r>
      <w:r>
        <w:rPr>
          <w:sz w:val="19"/>
        </w:rPr>
        <w:t>Frankreich, nationales Gesundheitsdatensystem, ähnliche Entlassdokumentationspflichten</w:t>
      </w:r>
    </w:p>
    <w:p>
      <w:r>
        <w:rPr>
          <w:color w:val="5A7D3A"/>
          <w:sz w:val="18"/>
        </w:rPr>
        <w:t>https://pubmed.ncbi.nlm.nih.gov/42623130/</w:t>
      </w:r>
    </w:p>
    <w:p>
      <w:pPr>
        <w:pStyle w:val="Heading1"/>
      </w:pPr>
      <w:r>
        <w:t>Aufgenommen am 18.09.2026</w:t>
      </w:r>
    </w:p>
    <w:p>
      <w:pPr>
        <w:pStyle w:val="Heading2"/>
      </w:pPr>
      <w:r>
        <w:t>MedDRA-Standardisierung halbierte Sicherheitsmeldelücken in Operationsstudien</w:t>
      </w:r>
    </w:p>
    <w:p>
      <w:r>
        <w:rPr>
          <w:i/>
          <w:color w:val="666666"/>
          <w:sz w:val="18"/>
        </w:rPr>
        <w:t>Camasso NC et al.  ·  BMJ Open  ·  17.09.2026  ·  PMID 42754271</w:t>
      </w:r>
    </w:p>
    <w:p>
      <w:r>
        <w:t>Querschnittsanalyse untersuchte, ob standardisierte Nomenklatur (MedDRA) für Nebenwirkungen die Qualität der Sicherheitsberichterstattung in chirurgischen Randomisierungsstudien verbessert.</w:t>
      </w:r>
    </w:p>
    <w:p>
      <w:r>
        <w:rPr>
          <w:b/>
        </w:rPr>
        <w:t xml:space="preserve">Ergebnis: </w:t>
      </w:r>
      <w:r>
        <w:t>Nur 18,8% der 116 Studien nutzten MedDRA. Mit MedDRA: vollständigere Berichte (p&lt;0,001), Concordance Registry-Publication 60% vs. 82% Diskrepanz, Mortalitätsmeldungen 60% vs. 82% Diskordanz. Industriefinanzierung und US-Beteiligung erhöhten MedDRA-Adoption um Faktor 29 bzw. 4,6.</w:t>
      </w:r>
    </w:p>
    <w:p>
      <w:r>
        <w:rPr>
          <w:b/>
          <w:sz w:val="19"/>
        </w:rPr>
        <w:t xml:space="preserve">Übertragbarkeit: </w:t>
      </w:r>
      <w:r>
        <w:rPr>
          <w:sz w:val="19"/>
        </w:rPr>
        <w:t>Universelles Problem Chirurgieforschung, MedDRA auch in deutschsprachigen Kliniken einsetzbar.</w:t>
      </w:r>
    </w:p>
    <w:p>
      <w:r>
        <w:rPr>
          <w:color w:val="5A7D3A"/>
          <w:sz w:val="18"/>
        </w:rPr>
        <w:t>https://pubmed.ncbi.nlm.nih.gov/42754271/</w:t>
      </w:r>
    </w:p>
    <w:p>
      <w:pPr>
        <w:pStyle w:val="Heading2"/>
      </w:pPr>
      <w:r>
        <w:t>Pflegeleiter-Bundle senkte Pneumonierisiko bei septischen Bauchpatienten um 40 Prozent</w:t>
      </w:r>
    </w:p>
    <w:p>
      <w:r>
        <w:rPr>
          <w:i/>
          <w:color w:val="666666"/>
          <w:sz w:val="18"/>
        </w:rPr>
        <w:t>Xu Y et al.  ·  Crit Care  ·  14.09.2026  ·  PMID 42750044</w:t>
      </w:r>
    </w:p>
    <w:p>
      <w:r>
        <w:t>Studie untersuchte, ob ein Pflege-Behandlungsbündel für Atemwegsmanagement die Pneumonierate bei kritisch kranken Patienten mit Abdominalempyem senkt.</w:t>
      </w:r>
    </w:p>
    <w:p>
      <w:r>
        <w:rPr>
          <w:b/>
        </w:rPr>
        <w:t xml:space="preserve">Ergebnis: </w:t>
      </w:r>
      <w:r>
        <w:t>Das Bundle reduzierte Pneumonieinzidenz von 42,2% auf 25,6% (OR 0,39; 95%-KI 0,28–0,54; p&lt;0,001), Krankenhausaufenthalt um 20% und 28-Tage-Mortalität von 22,8% auf 18,3%. Fünf Sensitivitätsanalysen bestätigten Robustheit ohne Heterogenität zwischen Zentren.</w:t>
      </w:r>
    </w:p>
    <w:p>
      <w:r>
        <w:rPr>
          <w:b/>
          <w:sz w:val="19"/>
        </w:rPr>
        <w:t xml:space="preserve">Übertragbarkeit: </w:t>
      </w:r>
      <w:r>
        <w:rPr>
          <w:sz w:val="19"/>
        </w:rPr>
        <w:t>China, aber strukturierte Bundle-Ansätze auf Intensivstationen sind international etabliert.</w:t>
      </w:r>
    </w:p>
    <w:p>
      <w:r>
        <w:rPr>
          <w:color w:val="5A7D3A"/>
          <w:sz w:val="18"/>
        </w:rPr>
        <w:t>https://pubmed.ncbi.nlm.nih.gov/42750044/</w:t>
      </w:r>
    </w:p>
    <w:p>
      <w:pPr>
        <w:pStyle w:val="Heading2"/>
      </w:pPr>
      <w:r>
        <w:t>Pathogen-PCR-Diagnostik senkte unnötige Antibiotika und verbesserte Sepsis-Überleben</w:t>
      </w:r>
    </w:p>
    <w:p>
      <w:r>
        <w:rPr>
          <w:i/>
          <w:color w:val="666666"/>
          <w:sz w:val="18"/>
        </w:rPr>
        <w:t>Zhang H et al.  ·  Nat Commun  ·  20.08.2026  ·  PMID 42749736</w:t>
      </w:r>
    </w:p>
    <w:p>
      <w:r>
        <w:t>Randomisierte Studie testete, ob digitale PCR-Diagnostik die Antibiotikaanpassung bei Sepsis-Verdacht steuert und Sterblichkeit senkt.</w:t>
      </w:r>
    </w:p>
    <w:p>
      <w:r>
        <w:rPr>
          <w:b/>
        </w:rPr>
        <w:t xml:space="preserve">Ergebnis: </w:t>
      </w:r>
      <w:r>
        <w:t>ddPCR erhöhte korrekte Antibiotikaabdeckung von 6,1% auf 12,91% (p=0,0039), Tagesmelder schneller. Pathogenenlast &gt;3051 Kopien/ml (Tag 0), &gt;404 (Tag 3), &gt;1348 (Tag 7) vorhersagend für 28-Tage-Mortalität. Frühe genauigkeitsbasierte Therapieanpassung verbesserte Überleben signifikant.</w:t>
      </w:r>
    </w:p>
    <w:p>
      <w:r>
        <w:rPr>
          <w:b/>
          <w:sz w:val="19"/>
        </w:rPr>
        <w:t xml:space="preserve">Übertragbarkeit: </w:t>
      </w:r>
      <w:r>
        <w:rPr>
          <w:sz w:val="19"/>
        </w:rPr>
        <w:t>China-Daten, aber Diagnostik-Prinzip auf Sepsis-Erkennung universell übertragbar.</w:t>
      </w:r>
    </w:p>
    <w:p>
      <w:r>
        <w:rPr>
          <w:color w:val="5A7D3A"/>
          <w:sz w:val="18"/>
        </w:rPr>
        <w:t>https://pubmed.ncbi.nlm.nih.gov/42749736/</w:t>
      </w:r>
    </w:p>
    <w:p>
      <w:pPr>
        <w:pStyle w:val="Heading2"/>
      </w:pPr>
      <w:r>
        <w:t>Sicherheitsclutter-Taxonomie identifiziert verschleuerte Prozesse, die Schaden nicht mindern</w:t>
      </w:r>
    </w:p>
    <w:p>
      <w:r>
        <w:rPr>
          <w:i/>
          <w:color w:val="666666"/>
          <w:sz w:val="18"/>
        </w:rPr>
        <w:t>Raheemy Y et al.  ·  J Safety Res  ·  15.06.2026  ·  PMID 42744505</w:t>
      </w:r>
    </w:p>
    <w:p>
      <w:r>
        <w:t>Qualitative Studie mit Expertenfokusgruppen und 11 Jobsite-Ethnografien (Bauwesen) entwickelt eine Diagnose-Klassifikation für Sicherheitsmaßnahmen, die Zeit verschwenden.</w:t>
      </w:r>
    </w:p>
    <w:p>
      <w:r>
        <w:rPr>
          <w:b/>
        </w:rPr>
        <w:t xml:space="preserve">Ergebnis: </w:t>
      </w:r>
      <w:r>
        <w:t>Sicherheitsclutter definiert als Aufwand, der ohne Sicherheitsgewinn Ressourcen bindet: bedingte Clutter (exzessiv, irrelevant, unerreichbar) und reine Clutter (ungültig). 11 Clutter-Typen mit Erkennungszeichen und Fallbeispielen benannt, Triangulation Fokusgruppe-Ethnografie validiert Kategoriengrenzen.</w:t>
      </w:r>
    </w:p>
    <w:p>
      <w:r>
        <w:rPr>
          <w:b/>
          <w:sz w:val="19"/>
        </w:rPr>
        <w:t xml:space="preserve">Übertragbarkeit: </w:t>
      </w:r>
      <w:r>
        <w:rPr>
          <w:sz w:val="19"/>
        </w:rPr>
        <w:t>Bauwesen primär, Konzept auf Krankenhausprozesse (Fehlermeldesysteme, Dokumentation) übertragbar.</w:t>
      </w:r>
    </w:p>
    <w:p>
      <w:r>
        <w:rPr>
          <w:color w:val="5A7D3A"/>
          <w:sz w:val="18"/>
        </w:rPr>
        <w:t>https://pubmed.ncbi.nlm.nih.gov/42744505/</w:t>
      </w:r>
    </w:p>
    <w:p>
      <w:pPr>
        <w:pStyle w:val="Heading2"/>
      </w:pPr>
      <w:r>
        <w:t>Digitalisierung steigert Arbeitsschutzegoismus, wenn Mitsprache fehlt – Spanien und Dänemark</w:t>
      </w:r>
    </w:p>
    <w:p>
      <w:r>
        <w:rPr>
          <w:i/>
          <w:color w:val="666666"/>
          <w:sz w:val="18"/>
        </w:rPr>
        <w:t>Foncubierta-Rodríguez MJ  ·  J Safety Res  ·  17.08.2026  ·  PMID 42744499</w:t>
      </w:r>
    </w:p>
    <w:p>
      <w:r>
        <w:t>Querschnittswiederholung (ESENER 2019/2024) testet, ob Digitalisierung universell zum Reaktions- statt Präventivsicherheit führt und wie Mitarbeitermitsprache puffert.</w:t>
      </w:r>
    </w:p>
    <w:p>
      <w:r>
        <w:rPr>
          <w:b/>
        </w:rPr>
        <w:t xml:space="preserve">Ergebnis: </w:t>
      </w:r>
      <w:r>
        <w:t>Digitalisierung triggert überall Organisationsreaktivität; Arbeitermitsprache war 2019 inaktiv (nonsignifikant), 2024 aktiver Schutzfaktor gegen Reaktivität (β=0,547; p&lt;0,001). Traditionelle Industrie 2024 deutlich schlechter in Sicherheitsmanagement als Dienstleistung. Strukturelle Schichtung nach Sektor neu in post-pandemischer Ära.</w:t>
      </w:r>
    </w:p>
    <w:p>
      <w:r>
        <w:rPr>
          <w:b/>
          <w:sz w:val="19"/>
        </w:rPr>
        <w:t xml:space="preserve">Übertragbarkeit: </w:t>
      </w:r>
      <w:r>
        <w:rPr>
          <w:sz w:val="19"/>
        </w:rPr>
        <w:t>Spanien/Dänemark-Daten, EU-Risikomanagement-Rahmen, aber Befund zur Digitalisierungs-Reaktivität systemunabhängig.</w:t>
      </w:r>
    </w:p>
    <w:p>
      <w:r>
        <w:rPr>
          <w:color w:val="5A7D3A"/>
          <w:sz w:val="18"/>
        </w:rPr>
        <w:t>https://pubmed.ncbi.nlm.nih.gov/42744499/</w:t>
      </w:r>
    </w:p>
    <w:p>
      <w:pPr>
        <w:pStyle w:val="Heading2"/>
      </w:pPr>
      <w:r>
        <w:t>Multipack-Implantate kürzten OP-Zeit und Verpackungsabfall in Wirbelsäulenchirurgie</w:t>
      </w:r>
    </w:p>
    <w:p>
      <w:r>
        <w:rPr>
          <w:i/>
          <w:color w:val="666666"/>
          <w:sz w:val="18"/>
        </w:rPr>
        <w:t>Bludau F et al.  ·  Medicina (Kaunas)  ·  26.06.2026  ·  PMID 42512785</w:t>
      </w:r>
    </w:p>
    <w:p>
      <w:r>
        <w:t>HTA-Vergleichsstudie mit Messungen während acht Fusionen bewertete Einzelimplantat- gegen Multipack-Versorgung auf Workflow, Materialverbrauch und CO2-Bilanz.</w:t>
      </w:r>
    </w:p>
    <w:p>
      <w:r>
        <w:rPr>
          <w:b/>
        </w:rPr>
        <w:t xml:space="preserve">Ergebnis: </w:t>
      </w:r>
      <w:r>
        <w:t>Multipack senkte Griffzeit um 58% (25,4 s vs. 58,7 s; p=0,004), Steriltransferaufwand um Faktor 4,76, Verpackungsvolumen um Faktor 5,6, CO2-Äquivalent 0,017 kg vs. 0,026 kg. Personalzufriedenheit 73% positiv; Nachteil: möglicher Materialabfall ungenutzter Implantate.</w:t>
      </w:r>
    </w:p>
    <w:p>
      <w:r>
        <w:rPr>
          <w:b/>
          <w:sz w:val="19"/>
        </w:rPr>
        <w:t xml:space="preserve">Übertragbarkeit: </w:t>
      </w:r>
      <w:r>
        <w:rPr>
          <w:sz w:val="19"/>
        </w:rPr>
        <w:t>Deutschland: Universitätsklinikum Mannheim, vergleichbare Operationsumgebung und Dokumentationspflichten.</w:t>
      </w:r>
    </w:p>
    <w:p>
      <w:r>
        <w:rPr>
          <w:color w:val="5A7D3A"/>
          <w:sz w:val="18"/>
        </w:rPr>
        <w:t>https://pubmed.ncbi.nlm.nih.gov/42512785/</w:t>
      </w:r>
    </w:p>
    <w:p>
      <w:pPr>
        <w:pStyle w:val="Heading1"/>
      </w:pPr>
      <w:r>
        <w:t>Aufgenommen am 17.09.2026</w:t>
      </w:r>
    </w:p>
    <w:p>
      <w:pPr>
        <w:pStyle w:val="Heading2"/>
      </w:pPr>
      <w:r>
        <w:t>Nachhaltige Schutzausrüstung reduziert Carbon-Footprint ohne Infektionsrisiko</w:t>
      </w:r>
    </w:p>
    <w:p>
      <w:r>
        <w:rPr>
          <w:i/>
          <w:color w:val="666666"/>
          <w:sz w:val="18"/>
        </w:rPr>
        <w:t>Slyne H  ·  Br J Nurs  ·  17.09.2026  ·  PMID 42748025</w:t>
      </w:r>
    </w:p>
    <w:p>
      <w:r>
        <w:t>Übersichtsarbeit der Infection Prevention and Control Abteilung eines britischen Universitätskrankenhauses zu erfolgreichen Implementierungen nachhaltiger Persönlicher Schutzausrüstung (Handschuhe, Schürzen, Isolation Gowns, Masken).</w:t>
      </w:r>
    </w:p>
    <w:p>
      <w:r>
        <w:rPr>
          <w:b/>
        </w:rPr>
        <w:t xml:space="preserve">Ergebnis: </w:t>
      </w:r>
      <w:r>
        <w:t>Studienübersicht zeigt Kosteneinsparungen, CO₂-Reduktionen und verbesserte Mitarbeiter-Zufriedenheit sowie Hautgesundheit ohne nachteilige Auswirkungen auf nosokomiale Infektionen. Handschuh-Übernutzung identifiziert als größter Carbon-Hotspot im Gesundheitswesen.</w:t>
      </w:r>
    </w:p>
    <w:p>
      <w:r>
        <w:rPr>
          <w:b/>
          <w:sz w:val="19"/>
        </w:rPr>
        <w:t xml:space="preserve">Übertragbarkeit: </w:t>
      </w:r>
      <w:r>
        <w:rPr>
          <w:sz w:val="19"/>
        </w:rPr>
        <w:t>Vereinigtes Königreich, vergleichbare PPE-Standards und Dokumentationspflichten</w:t>
      </w:r>
    </w:p>
    <w:p>
      <w:r>
        <w:rPr>
          <w:color w:val="5A7D3A"/>
          <w:sz w:val="18"/>
        </w:rPr>
        <w:t>https://pubmed.ncbi.nlm.nih.gov/42748025/</w:t>
      </w:r>
    </w:p>
    <w:p>
      <w:pPr>
        <w:pStyle w:val="Heading2"/>
      </w:pPr>
      <w:r>
        <w:t>Perioperative Hypersensibilität im Kindesalter: Qualitative Analyse französischer Allergie-Kohorten</w:t>
      </w:r>
    </w:p>
    <w:p>
      <w:r>
        <w:rPr>
          <w:i/>
          <w:color w:val="666666"/>
          <w:sz w:val="18"/>
        </w:rPr>
        <w:t>Michel MP et al.  ·  Pediatr Allergy Immunol  ·  Sept. 2026  ·  PMID 42747994</w:t>
      </w:r>
    </w:p>
    <w:p>
      <w:r>
        <w:t>Analyse von 4.605 perioperativen Hypersensibilitätsreaktionen (461 Fälle bei Kindern &lt;18 Jahren) aus französischem GERAP-Netzwerk über drei Dekaden (1997–2024) mit Allergen-Identifikation und Schweregraduierung.</w:t>
      </w:r>
    </w:p>
    <w:p>
      <w:r>
        <w:rPr>
          <w:b/>
        </w:rPr>
        <w:t xml:space="preserve">Ergebnis: </w:t>
      </w:r>
      <w:r>
        <w:t>Kausales Allergen in 43% der Fälle identifiziert (Neuromuscular-Blocking-Agents 31%, Latex 30%, Antibiotika 16%). Reaktionen mit Allergen-ID waren signifikant schwerer (Grad 3–4: 46% vs. 13%; p &lt; 0,001) mit höherer Tryptase (Median 16,0 vs. 4,0 μg/L; p &lt; 0,001). Latex-Reaktionen verschwanden nach 2017.</w:t>
      </w:r>
    </w:p>
    <w:p>
      <w:r>
        <w:rPr>
          <w:b/>
          <w:sz w:val="19"/>
        </w:rPr>
        <w:t xml:space="preserve">Übertragbarkeit: </w:t>
      </w:r>
      <w:r>
        <w:rPr>
          <w:sz w:val="19"/>
        </w:rPr>
        <w:t>Frankreich, hochgradig vergleichbar; europäischer Standard für Allergie-Registrierung und Perioperativ-Management</w:t>
      </w:r>
    </w:p>
    <w:p>
      <w:r>
        <w:rPr>
          <w:color w:val="5A7D3A"/>
          <w:sz w:val="18"/>
        </w:rPr>
        <w:t>https://pubmed.ncbi.nlm.nih.gov/42747994/</w:t>
      </w:r>
    </w:p>
    <w:p>
      <w:pPr>
        <w:pStyle w:val="Heading2"/>
      </w:pPr>
      <w:r>
        <w:t>Cefazolin mindestens gleichwertig zu Flucloxacillin bei Staphylococcus-aureus-Bakteriämie</w:t>
      </w:r>
    </w:p>
    <w:p>
      <w:r>
        <w:rPr>
          <w:i/>
          <w:color w:val="666666"/>
          <w:sz w:val="18"/>
        </w:rPr>
        <w:t>Jager NGL et al.  ·  Ned Tijdschr Geneeskd  ·  16.09.2026  ·  PMID 42747445</w:t>
      </w:r>
    </w:p>
    <w:p>
      <w:r>
        <w:t>Die internationale adaptive Plattformstudie SNAP verglich Cefazolin mit (Flu-)Cloxacillin bei Erwachsenen mit Methicillin-empfindlicher S.-aureus-Bakteriämie.</w:t>
      </w:r>
    </w:p>
    <w:p>
      <w:r>
        <w:rPr>
          <w:b/>
        </w:rPr>
        <w:t xml:space="preserve">Ergebnis: </w:t>
      </w:r>
      <w:r>
        <w:t>90-Tage-Mortalität 15,0% mit Cefazolin versus 17,0% mit (Flu-)Cloxacillin (aOR 0,81; 95%-KrI 0,59–1,12; Nicht-Unterlegenheitswahrscheinlichkeit 99,2%). Akutes Nierenschädigungsrisiko war bei Cefazolin signifikant niedriger (13,9% vs. 19,6%; aOR 0,67; 95%-KrI 0,50–0,89).</w:t>
      </w:r>
    </w:p>
    <w:p>
      <w:r>
        <w:rPr>
          <w:b/>
          <w:sz w:val="19"/>
        </w:rPr>
        <w:t xml:space="preserve">Übertragbarkeit: </w:t>
      </w:r>
      <w:r>
        <w:rPr>
          <w:sz w:val="19"/>
        </w:rPr>
        <w:t>Niederlande, vergleichbares Sozialversicherungssystem und ärztliches Handeln</w:t>
      </w:r>
    </w:p>
    <w:p>
      <w:r>
        <w:rPr>
          <w:color w:val="5A7D3A"/>
          <w:sz w:val="18"/>
        </w:rPr>
        <w:t>https://pubmed.ncbi.nlm.nih.gov/42747445/</w:t>
      </w:r>
    </w:p>
    <w:p>
      <w:pPr>
        <w:pStyle w:val="Heading2"/>
      </w:pPr>
      <w:r>
        <w:t>Opioid-Allergien-Labeling bewirkt unnötige Ausgrenzung sicherer Analgetika</w:t>
      </w:r>
    </w:p>
    <w:p>
      <w:r>
        <w:rPr>
          <w:i/>
          <w:color w:val="666666"/>
          <w:sz w:val="18"/>
        </w:rPr>
        <w:t>Eiset AH et al.  ·  Basic Clin Pharmacol Toxicol  ·  Okt. 2026  ·  PMID 42746690</w:t>
      </w:r>
    </w:p>
    <w:p>
      <w:r>
        <w:t>Audit von 14.661 Opioid-Allergieregistrierungen in elektronischen Patientenakten von sechs dänischen Krankenhäusern (2020–2023) validierte Text-Mining-Algorithmen zur Unterscheidung wahrer Überempfindlichkeit von normalen Nebenwirkungen.</w:t>
      </w:r>
    </w:p>
    <w:p>
      <w:r>
        <w:rPr>
          <w:b/>
        </w:rPr>
        <w:t xml:space="preserve">Ergebnis: </w:t>
      </w:r>
      <w:r>
        <w:t>Nur 19% (n = 2.710) der Registrierungen entsprachen einer wahrscheinlichen Allergie, überwiegend Hautausschlag oder Pruritus (71%). 33% der Patienten mit registrierter Allergie erhielten später sicher das gleiche Opioid; das Label ist ein sehr schwacher Prädiktor für echte Hypersensibilität.</w:t>
      </w:r>
    </w:p>
    <w:p>
      <w:r>
        <w:rPr>
          <w:b/>
          <w:sz w:val="19"/>
        </w:rPr>
        <w:t xml:space="preserve">Übertragbarkeit: </w:t>
      </w:r>
      <w:r>
        <w:rPr>
          <w:sz w:val="19"/>
        </w:rPr>
        <w:t>Dänemark mit Fehlermeldesystem ohne Verschuldensnachweis – Übertragung auf Arzthaftungs-Systeme mit Beweislast limitiert</w:t>
      </w:r>
    </w:p>
    <w:p>
      <w:r>
        <w:rPr>
          <w:color w:val="5A7D3A"/>
          <w:sz w:val="18"/>
        </w:rPr>
        <w:t>https://pubmed.ncbi.nlm.nih.gov/42746690/</w:t>
      </w:r>
    </w:p>
    <w:p>
      <w:pPr>
        <w:pStyle w:val="Heading2"/>
      </w:pPr>
      <w:r>
        <w:t>Falsch dokumentierte Penicillin-Allergie erhöht Infektionsrisiko bei Leberzirrhose-Patienten</w:t>
      </w:r>
    </w:p>
    <w:p>
      <w:r>
        <w:rPr>
          <w:i/>
          <w:color w:val="666666"/>
          <w:sz w:val="18"/>
        </w:rPr>
        <w:t>Danpanichkul P et al.  ·  Alcohol Clin Exp Res (Hoboken)  ·  Sept. 2026  ·  PMID 42745200</w:t>
      </w:r>
    </w:p>
    <w:p>
      <w:r>
        <w:t>Kohortenstudie mit Propensity-Score-Matching (n = 2.388) untersuchte die Auswirkung dokumentierter Penicillin-Allergie-Labels auf Infektionsraten bei Patienten mit alkoholischer Leberzirrhose in den USA.</w:t>
      </w:r>
    </w:p>
    <w:p>
      <w:r>
        <w:rPr>
          <w:b/>
        </w:rPr>
        <w:t xml:space="preserve">Ergebnis: </w:t>
      </w:r>
      <w:r>
        <w:t>Penicillin-Allergie-Label assoziiert mit erhöhtem Sepsis-Risiko (11,4% vs. 6,4%; HR 1,53; 95%-KI 1,16–2,02), Pneumonie (8,7% vs. 5,0%; HR 1,49), Harnwegsinfekt (11,7% vs. 6,6%; HR 1,55) und Alkoholhepatitis (19,0% vs. 13,5%; HR 1,27).</w:t>
      </w:r>
    </w:p>
    <w:p>
      <w:r>
        <w:rPr>
          <w:b/>
          <w:sz w:val="19"/>
        </w:rPr>
        <w:t xml:space="preserve">Übertragbarkeit: </w:t>
      </w:r>
      <w:r>
        <w:rPr>
          <w:sz w:val="19"/>
        </w:rPr>
        <w:t>USA-Daten, begrenzte Übertragbarkeit auf deutsche Dokumentations- und Haftungspraxis</w:t>
      </w:r>
    </w:p>
    <w:p>
      <w:r>
        <w:rPr>
          <w:color w:val="5A7D3A"/>
          <w:sz w:val="18"/>
        </w:rPr>
        <w:t>https://pubmed.ncbi.nlm.nih.gov/42745200/</w:t>
      </w:r>
    </w:p>
    <w:p>
      <w:pPr>
        <w:pStyle w:val="Heading2"/>
      </w:pPr>
      <w:r>
        <w:t>Hohe Sepsis-Inzidenz bei alkoholbedingter Zirrhose: 30%-Mortalität in erster Hospitalisierung</w:t>
      </w:r>
    </w:p>
    <w:p>
      <w:r>
        <w:rPr>
          <w:i/>
          <w:color w:val="666666"/>
          <w:sz w:val="18"/>
        </w:rPr>
        <w:t>Stenderup CJ et al.  ·  Liver Int  ·  Okt. 2026  ·  PMID 42741819</w:t>
      </w:r>
    </w:p>
    <w:p>
      <w:r>
        <w:t>Dänische populationsbasierte Studie aller Patienten mit alkoholbedingter Zirrhose (n = 2.511, 2013–2022) quantifizierte Sepsis- und Bakteriämie-Inzidenz und prognostische Faktoren.</w:t>
      </w:r>
    </w:p>
    <w:p>
      <w:r>
        <w:rPr>
          <w:b/>
        </w:rPr>
        <w:t xml:space="preserve">Ergebnis: </w:t>
      </w:r>
      <w:r>
        <w:t>Kumulative 3-Jahres-Inzidenz ernst gemeinter Systeminfektionen 5,9% (95%-KI 5,0–6,9). MELD-NA-Score war unabhängiger Prädiktor (sHR 1,05 pro Punkt; 95%-KI 1,02–1,08). 30-Tage-Mortalität nach Hospitalisierung mit Infektion: 30% (95%-KI 23–37). Enterobacterales 38%, Staphylokokken 25%, Streptokokken 22% der Isolate.</w:t>
      </w:r>
    </w:p>
    <w:p>
      <w:r>
        <w:rPr>
          <w:b/>
          <w:sz w:val="19"/>
        </w:rPr>
        <w:t xml:space="preserve">Übertragbarkeit: </w:t>
      </w:r>
      <w:r>
        <w:rPr>
          <w:sz w:val="19"/>
        </w:rPr>
        <w:t>Dänemark mit skandinavischem Melde- und Entschädigungssystem – Fallzahlen nicht mit deutschem vergleichbar</w:t>
      </w:r>
    </w:p>
    <w:p>
      <w:r>
        <w:rPr>
          <w:color w:val="5A7D3A"/>
          <w:sz w:val="18"/>
        </w:rPr>
        <w:t>https://pubmed.ncbi.nlm.nih.gov/42741819/</w:t>
      </w:r>
    </w:p>
    <w:p>
      <w:pPr>
        <w:pStyle w:val="Heading1"/>
      </w:pPr>
      <w:r>
        <w:t>Aufgenommen am 16.09.2026</w:t>
      </w:r>
    </w:p>
    <w:p>
      <w:pPr>
        <w:pStyle w:val="Heading2"/>
      </w:pPr>
      <w:r>
        <w:t>Infektionsprävention im Kreißsaal: Motivation schlägt Ressourcenmangel</w:t>
      </w:r>
    </w:p>
    <w:p>
      <w:r>
        <w:rPr>
          <w:i/>
          <w:color w:val="666666"/>
          <w:sz w:val="18"/>
        </w:rPr>
        <w:t>Riches JM et al.  ·  BMJ Glob Health  ·  15.09.2026  ·  PMID 42744564</w:t>
      </w:r>
    </w:p>
    <w:p>
      <w:r>
        <w:t>Mixed-Methods-Studie in drei Kreißsälen in Malawi identifizierte Barrieren und Förderfaktoren für Infektionsprävention vor Kaiserschnitt, um eine Verhaltensintervention zu entwickeln.</w:t>
      </w:r>
    </w:p>
    <w:p>
      <w:r>
        <w:rPr>
          <w:b/>
        </w:rPr>
        <w:t xml:space="preserve">Ergebnis: </w:t>
      </w:r>
      <w:r>
        <w:t>Beobachtung zeigte erhebliche Lücken in Händehygiene, aseptischer Technik und sterilem Arbeiten. Ressourcenmangel wirkte direkt und indirekt als Barriere durch Auswirkung auf Motivation. "Passion" für Patienten, regelmäßige Supervision und "Reminders" waren Förderfaktoren. Indirekte Motivation spielte eine ebenso wichtige Rolle wie verfügbare Ressourcen.</w:t>
      </w:r>
    </w:p>
    <w:p>
      <w:r>
        <w:rPr>
          <w:b/>
          <w:sz w:val="19"/>
        </w:rPr>
        <w:t xml:space="preserve">Übertragbarkeit: </w:t>
      </w:r>
      <w:r>
        <w:rPr>
          <w:sz w:val="19"/>
        </w:rPr>
        <w:t>Malawi, Erkenntnisse für Implementierungsforschung zur Verhaltensänderung</w:t>
      </w:r>
    </w:p>
    <w:p>
      <w:r>
        <w:rPr>
          <w:color w:val="5A7D3A"/>
          <w:sz w:val="18"/>
        </w:rPr>
        <w:t>https://pubmed.ncbi.nlm.nih.gov/42744564/</w:t>
      </w:r>
    </w:p>
    <w:p>
      <w:pPr>
        <w:pStyle w:val="Heading2"/>
      </w:pPr>
      <w:r>
        <w:t>"Zweites Opfer" in Gesundheitsberufen: physische, mentale und berufliche Schäden</w:t>
      </w:r>
    </w:p>
    <w:p>
      <w:r>
        <w:rPr>
          <w:i/>
          <w:color w:val="666666"/>
          <w:sz w:val="18"/>
        </w:rPr>
        <w:t>Vianna Gonçalves da Costa ECDC et al.  ·  PLoS One  ·  15.09.2026  ·  PMID 42743379</w:t>
      </w:r>
    </w:p>
    <w:p>
      <w:r>
        <w:t>Scoping Review untersuchte psychische, physische, berufliche und soziale Folgen des "Zweiten-Opfer"-Phänomens (psychische Traumatisierung von Fachpersonen nach Behandlungsfehlern) in 37 Publikationen aus 2009-2024.</w:t>
      </w:r>
    </w:p>
    <w:p>
      <w:r>
        <w:rPr>
          <w:b/>
        </w:rPr>
        <w:t xml:space="preserve">Ergebnis: </w:t>
      </w:r>
      <w:r>
        <w:t>Überwiegend qualitative Studien (n=14), hospitales Umfeld (n=25), Pflege am meisten erforscht (n=27). 39 Auswirkungen wurden kartografiert: psychische Dimension identifizierte Suizidgedanken als Risiko. Berufliche Dimension mit höchster Anzahl von Folgen (Kündigungen, Karriereverlust). Studie belegt starke Beziehung zwischen Fehlertraumatisierung und Arbeiter-Sicherheit.</w:t>
      </w:r>
    </w:p>
    <w:p>
      <w:r>
        <w:rPr>
          <w:b/>
          <w:sz w:val="19"/>
        </w:rPr>
        <w:t xml:space="preserve">Übertragbarkeit: </w:t>
      </w:r>
      <w:r>
        <w:rPr>
          <w:sz w:val="19"/>
        </w:rPr>
        <w:t>Globale Evidenz aus 22 Ländern, Pflegefokus, Implementierung notwendig</w:t>
      </w:r>
    </w:p>
    <w:p>
      <w:r>
        <w:rPr>
          <w:color w:val="5A7D3A"/>
          <w:sz w:val="18"/>
        </w:rPr>
        <w:t>https://pubmed.ncbi.nlm.nih.gov/42743379/</w:t>
      </w:r>
    </w:p>
    <w:p>
      <w:pPr>
        <w:pStyle w:val="Heading2"/>
      </w:pPr>
      <w:r>
        <w:t>ESBL-Kolonisierungsdruck erhöht Infektionsrisiko auf Neugeborenen-Stationen</w:t>
      </w:r>
    </w:p>
    <w:p>
      <w:r>
        <w:rPr>
          <w:i/>
          <w:color w:val="666666"/>
          <w:sz w:val="18"/>
        </w:rPr>
        <w:t>Cook A et al.  ·  JAMA Netw Open  ·  01.09.2026  ·  PMID 42742944</w:t>
      </w:r>
    </w:p>
    <w:p>
      <w:r>
        <w:t>Multizenterstudie an 24 europäischen Neonatalstationen untersuchte, ob die Kolonisierungsdichte mit ESBL-tragenden Bakterien das Risiko für Neugeborene, selbst eine ESBL-Infektion zu entwickeln, beeinflusst.</w:t>
      </w:r>
    </w:p>
    <w:p>
      <w:r>
        <w:rPr>
          <w:b/>
        </w:rPr>
        <w:t xml:space="preserve">Ergebnis: </w:t>
      </w:r>
      <w:r>
        <w:t>Eine Zunahme der Kolonisierungsdruck um 10 % war mit erhöhter Übernahmequote assoziiert (OR 1,89 bei 4-Tage-Abstand, 95%-KI 1,22-2,94; OR 1,76 bei 7 Tagen, 95%-KI 1,26-2,63; OR 1,73 bei 14 Tagen, 95%-KI 1,15-2,52). Maßnahmen auf Stationsebene könnten direkte und indirekte Vorteile bringen.</w:t>
      </w:r>
    </w:p>
    <w:p>
      <w:r>
        <w:rPr>
          <w:b/>
          <w:sz w:val="19"/>
        </w:rPr>
        <w:t xml:space="preserve">Übertragbarkeit: </w:t>
      </w:r>
      <w:r>
        <w:rPr>
          <w:sz w:val="19"/>
        </w:rPr>
        <w:t>Acht europäische Länder, deutschsprachige Einrichtungen vergleichbar</w:t>
      </w:r>
    </w:p>
    <w:p>
      <w:r>
        <w:rPr>
          <w:color w:val="5A7D3A"/>
          <w:sz w:val="18"/>
        </w:rPr>
        <w:t>https://pubmed.ncbi.nlm.nih.gov/42742944/</w:t>
      </w:r>
    </w:p>
    <w:p>
      <w:pPr>
        <w:pStyle w:val="Heading2"/>
      </w:pPr>
      <w:r>
        <w:t>Psychische und kontextuelle Faktoren treiben Infektionsprävention mehr als Wissen</w:t>
      </w:r>
    </w:p>
    <w:p>
      <w:r>
        <w:rPr>
          <w:i/>
          <w:color w:val="666666"/>
          <w:sz w:val="18"/>
        </w:rPr>
        <w:t>Ventura F et al.  ·  Glob Health Action  ·  15.09.2026  ·  PMID 42742348</w:t>
      </w:r>
    </w:p>
    <w:p>
      <w:r>
        <w:t>Evaluierung des kulturell adaptierten InovSafeCare-Modells zur Infektionsprävention und -kontrolle bei 486 Pflegestudierenden in vier Instituten in Tansania und Madagaskar mit Fragebogen und Pfadanalyse.</w:t>
      </w:r>
    </w:p>
    <w:p>
      <w:r>
        <w:rPr>
          <w:b/>
        </w:rPr>
        <w:t xml:space="preserve">Ergebnis: </w:t>
      </w:r>
      <w:r>
        <w:t>10-Faktor-Lösung erklärt 52,1 % der Varianz (Cronbachs α: 0,64-0,88). Strukturmodell zeigt akzeptable Passung (CFI=0,88; RMSEA=0,097). Kein direkter Zusammenhang zwischen Bildung und Adhärenz, stattdessen vermittelter Effekt über Motivation, Erwartungen, Skepsis, Umweltkomplexität und Überlastung. Modell erklärt 18,9 % der Varianz in Adhärenz. Psychische und kontextuelle Mediatoren sind kritisch.</w:t>
      </w:r>
    </w:p>
    <w:p>
      <w:r>
        <w:rPr>
          <w:b/>
          <w:sz w:val="19"/>
        </w:rPr>
        <w:t xml:space="preserve">Übertragbarkeit: </w:t>
      </w:r>
      <w:r>
        <w:rPr>
          <w:sz w:val="19"/>
        </w:rPr>
        <w:t>Sub-Sahara-Afrika, valides Messinstrument für Implementierungsforschung</w:t>
      </w:r>
    </w:p>
    <w:p>
      <w:r>
        <w:rPr>
          <w:color w:val="5A7D3A"/>
          <w:sz w:val="18"/>
        </w:rPr>
        <w:t>https://pubmed.ncbi.nlm.nih.gov/42742348/</w:t>
      </w:r>
    </w:p>
    <w:p>
      <w:pPr>
        <w:pStyle w:val="Heading2"/>
      </w:pPr>
      <w:r>
        <w:t>Landiolol senkt Herzfrequenz bei Sepsis mit neuem Vorhofflimmern sicher</w:t>
      </w:r>
    </w:p>
    <w:p>
      <w:r>
        <w:rPr>
          <w:i/>
          <w:color w:val="666666"/>
          <w:sz w:val="18"/>
        </w:rPr>
        <w:t>Guarracino F et al.  ·  Crit Care  ·  07.08.2026  ·  PMID 42736570</w:t>
      </w:r>
    </w:p>
    <w:p>
      <w:r>
        <w:t>Europäischer Delphi-Konsens von neun Intensivmedizinern und Kardiologen untersuchte, wie man Vorhofflimmern bei septischem Schock mit Herzfrequenzkontrolle managen sollte, mit Fokus auf den ultraselektiven β₁-Blocker Landiolol.</w:t>
      </w:r>
    </w:p>
    <w:p>
      <w:r>
        <w:rPr>
          <w:b/>
        </w:rPr>
        <w:t xml:space="preserve">Ergebnis: </w:t>
      </w:r>
      <w:r>
        <w:t>70,9 % der 55 Aussagen erreichten Konsens (≥80 % Übereinstimmung). Landiolol wurde für HR-Kontrolle bei ausgewählten Sepsis-Patienten empfohlen: ohne Bolus starten, niedrig titrieren, Ziel &lt;110 bpm mit engem hämodynamischen Monitoring. Kein Konsens zu optimaler Dauer oder Einsatz bei schwerer Ventrikeldysfunktion.</w:t>
      </w:r>
    </w:p>
    <w:p>
      <w:r>
        <w:rPr>
          <w:b/>
          <w:sz w:val="19"/>
        </w:rPr>
        <w:t xml:space="preserve">Übertragbarkeit: </w:t>
      </w:r>
      <w:r>
        <w:rPr>
          <w:sz w:val="19"/>
        </w:rPr>
        <w:t>Deutschland, Österreich, Frankreich, europäisches Konsens-Verfahren</w:t>
      </w:r>
    </w:p>
    <w:p>
      <w:r>
        <w:rPr>
          <w:color w:val="5A7D3A"/>
          <w:sz w:val="18"/>
        </w:rPr>
        <w:t>https://pubmed.ncbi.nlm.nih.gov/42736570/</w:t>
      </w:r>
    </w:p>
    <w:p>
      <w:pPr>
        <w:pStyle w:val="Heading2"/>
      </w:pPr>
      <w:r>
        <w:t>Serum-Meprin α identifiziert SIRS-Patienten zuverlässiger als klassische Parameter</w:t>
      </w:r>
    </w:p>
    <w:p>
      <w:r>
        <w:rPr>
          <w:i/>
          <w:color w:val="666666"/>
          <w:sz w:val="18"/>
        </w:rPr>
        <w:t>Beckinger S et al.  ·  Mol Med  ·  18.07.2026  ·  PMID 42471588</w:t>
      </w:r>
    </w:p>
    <w:p>
      <w:r>
        <w:t>Studie mit Transgen-Mausmodell und Intensivpatienten untersuchte, ob das Metalloprotease Meprin α als Biomarker für systemische Entzündungsreaktion (SIRS) taugt.</w:t>
      </w:r>
    </w:p>
    <w:p>
      <w:r>
        <w:rPr>
          <w:b/>
        </w:rPr>
        <w:t xml:space="preserve">Ergebnis: </w:t>
      </w:r>
      <w:r>
        <w:t>K5Mα-Mäuse entwickelten tödliche SIRS mit Hypothermie, Gewichtsverlust, Anämie und Zytokinsturm. Serum-Meprin-α-Spiegel korrelierten mit Krankheitsverlauf. Hohe Meprin-α-Spiegel waren bei allen SIRS-Patienten (n=19) nachweisbar, aber bei keinem Non-SIRS-Patienten (n=29). Meprin α korrelierte mit C-reaktivem Protein, Procalcitonin und Leukozyten, erlaubte aber klare Unterscheidung von SIRS.</w:t>
      </w:r>
    </w:p>
    <w:p>
      <w:r>
        <w:rPr>
          <w:b/>
          <w:sz w:val="19"/>
        </w:rPr>
        <w:t xml:space="preserve">Übertragbarkeit: </w:t>
      </w:r>
      <w:r>
        <w:rPr>
          <w:sz w:val="19"/>
        </w:rPr>
        <w:t>Deutschland, kleine Kohorte, größere Multizenterstudie notwendig</w:t>
      </w:r>
    </w:p>
    <w:p>
      <w:r>
        <w:rPr>
          <w:color w:val="5A7D3A"/>
          <w:sz w:val="18"/>
        </w:rPr>
        <w:t>https://pubmed.ncbi.nlm.nih.gov/42471588/</w:t>
      </w:r>
    </w:p>
    <w:p>
      <w:pPr>
        <w:pStyle w:val="Heading1"/>
      </w:pPr>
      <w:r>
        <w:t>Aufgenommen am 15.09.2026</w:t>
      </w:r>
    </w:p>
    <w:p>
      <w:pPr>
        <w:pStyle w:val="Heading2"/>
      </w:pPr>
      <w:r>
        <w:t>Notfalldesinfektion von Einmalmedizinprodukten: Peressigsäure und Ethanol reduzierten Keime um über 90 %</w:t>
      </w:r>
    </w:p>
    <w:p>
      <w:r>
        <w:rPr>
          <w:i/>
          <w:color w:val="666666"/>
          <w:sz w:val="18"/>
        </w:rPr>
        <w:t>Chevalley K et al.  ·  Prehosp Disaster Med  ·  14.09.2026  ·  PMID 42734164</w:t>
      </w:r>
    </w:p>
    <w:p>
      <w:r>
        <w:t>Bei Versorgungsengpässen wurden klinisch genutzte Einmalmedizinprodukte (Tuben, Masken, Katheter) mit Peressigsäure, 70%-Ethanol oder Spülmittel gereinigt und dann auf Keimbelastung sowie funktionelle Integrität getestet.</w:t>
      </w:r>
    </w:p>
    <w:p>
      <w:r>
        <w:rPr>
          <w:b/>
        </w:rPr>
        <w:t xml:space="preserve">Ergebnis: </w:t>
      </w:r>
      <w:r>
        <w:t>Alle drei Mittel reduzierten die bakterielle Belastung statistisch signifikant (p&lt;0,05), ohne strukturelle Schäden zu verursachen. H. influenzae und S. aureus waren vor Reinigung in 47 % der Atemwegsgeräte nachweisbar, danach in keiner Probe. Methode ersetzt kein validiertes Sterilisationsverfahren, könnte aber Notfall-Letztresort sein.</w:t>
      </w:r>
    </w:p>
    <w:p>
      <w:r>
        <w:rPr>
          <w:b/>
          <w:sz w:val="19"/>
        </w:rPr>
        <w:t xml:space="preserve">Übertragbarkeit: </w:t>
      </w:r>
      <w:r>
        <w:rPr>
          <w:sz w:val="19"/>
        </w:rPr>
        <w:t>Schweden, mit Kriegsszenario relevante Szene; Methoden sind auch in Deutschland anwendbar, für Lagerhaltung im Krisenfall zu prüfen.</w:t>
      </w:r>
    </w:p>
    <w:p>
      <w:r>
        <w:rPr>
          <w:color w:val="5A7D3A"/>
          <w:sz w:val="18"/>
        </w:rPr>
        <w:t>https://pubmed.ncbi.nlm.nih.gov/42734164/</w:t>
      </w:r>
    </w:p>
    <w:p>
      <w:pPr>
        <w:pStyle w:val="Heading2"/>
      </w:pPr>
      <w:r>
        <w:t>Sicherheitspläne für psychiatrische Patienten: Zahl stieg, aber Qualität blieb niedrig (7,67 von 22 Punkten)</w:t>
      </w:r>
    </w:p>
    <w:p>
      <w:r>
        <w:rPr>
          <w:i/>
          <w:color w:val="666666"/>
          <w:sz w:val="18"/>
        </w:rPr>
        <w:t>Farmer E et al.  ·  Int J Ment Health Nurs  ·  Okt. 2026  ·  PMID 42725545</w:t>
      </w:r>
    </w:p>
    <w:p>
      <w:r>
        <w:t>Ein australisches Spital führte Schulung für strukturierte Sicherheitspläne bei entlassungsreifen psychiatrischen Patienten ein und untersuchte Implementierungsbefunde und Qualität.</w:t>
      </w:r>
    </w:p>
    <w:p>
      <w:r>
        <w:rPr>
          <w:b/>
        </w:rPr>
        <w:t xml:space="preserve">Ergebnis: </w:t>
      </w:r>
      <w:r>
        <w:t>Zahl der erstellten Pläne nahm zu. Durchschnittliche Qualität aber niedrig (7,67 Punkte auf 22-Punkte-Skala). Qualitative Befunde ergaben Barrieren: Zeitdruck, unzureichende Schulung, Procedural Drift. Fachkräfte und Patienten erwähnten Wert, aber fehlende Komponenten (Frühwarnzeichen, Bewältigungsmechanismen, externe Ressourcen, Mittelzugang).</w:t>
      </w:r>
    </w:p>
    <w:p>
      <w:r>
        <w:rPr>
          <w:b/>
          <w:sz w:val="19"/>
        </w:rPr>
        <w:t xml:space="preserve">Übertragbarkeit: </w:t>
      </w:r>
      <w:r>
        <w:rPr>
          <w:sz w:val="19"/>
        </w:rPr>
        <w:t>Australien, Struktur übertragbar; zeigt Implementierungs-Compliance-Problem: Prozess läuft, Qualität nicht.</w:t>
      </w:r>
    </w:p>
    <w:p>
      <w:r>
        <w:rPr>
          <w:color w:val="5A7D3A"/>
          <w:sz w:val="18"/>
        </w:rPr>
        <w:t>https://pubmed.ncbi.nlm.nih.gov/42725545/</w:t>
      </w:r>
    </w:p>
    <w:p>
      <w:pPr>
        <w:pStyle w:val="Heading2"/>
      </w:pPr>
      <w:r>
        <w:t>Hand- und Handybelastung von Klinikpersonal: Keimabstrichkulturen zeigen positive Assoziation, aber nur teilweise Übereinstimmung</w:t>
      </w:r>
    </w:p>
    <w:p>
      <w:r>
        <w:rPr>
          <w:i/>
          <w:color w:val="666666"/>
          <w:sz w:val="18"/>
        </w:rPr>
        <w:t>Jiang W et al.  ·  Front Cell Infect Microbiol  ·  26.08.2026  ·  PMID 42718797</w:t>
      </w:r>
    </w:p>
    <w:p>
      <w:r>
        <w:t>In einer chinesischen Klinik wurden an 126 Ärzte, Pfleger und Helfer gepaarte Handabstriche und Handyoberflächen-Kulturen genommen, um Kontamination und Übertragungspotential zu charakterisieren.</w:t>
      </w:r>
    </w:p>
    <w:p>
      <w:r>
        <w:rPr>
          <w:b/>
        </w:rPr>
        <w:t xml:space="preserve">Ergebnis: </w:t>
      </w:r>
      <w:r>
        <w:t>Mittlere Handbelastung 11,67 CFU/cm² (IQR 1,67–54,17), Handys 950 CFU (IQR 300–2575). Positive Spearman-Korrelation (rho=0,514, p&lt;0,001). Mediale Jaccard-Ähnlichkeit 0,50, durchschnittlich 1 gemeinsamer Keim pro Paar. Koagulase-negative Staphylokokken einzige signifikante diskordante Detektion.</w:t>
      </w:r>
    </w:p>
    <w:p>
      <w:r>
        <w:rPr>
          <w:b/>
          <w:sz w:val="19"/>
        </w:rPr>
        <w:t xml:space="preserve">Übertragbarkeit: </w:t>
      </w:r>
      <w:r>
        <w:rPr>
          <w:sz w:val="19"/>
        </w:rPr>
        <w:t>China, aber Handkeim-Epidemiologie universal; Hinweis: Hände und Handys sind nicht synchron kontaminiert – erfordert separate Hygienemaßnahmen.</w:t>
      </w:r>
    </w:p>
    <w:p>
      <w:r>
        <w:rPr>
          <w:color w:val="5A7D3A"/>
          <w:sz w:val="18"/>
        </w:rPr>
        <w:t>https://pubmed.ncbi.nlm.nih.gov/42718797/</w:t>
      </w:r>
    </w:p>
    <w:p>
      <w:pPr>
        <w:pStyle w:val="Heading2"/>
      </w:pPr>
      <w:r>
        <w:t>NHS-Fehlermeldesystem: Gesetzliche Haftungsregeln beeinflussen, was gemeldet wird und was daraus folgt</w:t>
      </w:r>
    </w:p>
    <w:p>
      <w:r>
        <w:rPr>
          <w:i/>
          <w:color w:val="666666"/>
          <w:sz w:val="18"/>
        </w:rPr>
        <w:t>Tingle J  ·  Br J Nurs  ·  06.08.2026  ·  PMID 42555592</w:t>
      </w:r>
    </w:p>
    <w:p>
      <w:r>
        <w:t>Britischer Rechtswissenschaftler analysiert aktuelle NHS-Resolution-Berichte zur Meldekultur und Entschädigungssystematik im englischen Gesundheitswesen.</w:t>
      </w:r>
    </w:p>
    <w:p>
      <w:r>
        <w:rPr>
          <w:b/>
        </w:rPr>
        <w:t xml:space="preserve">Ergebnis: </w:t>
      </w:r>
      <w:r>
        <w:t>Britisches System nutzt kein Schuldprinzip wie Deutschland (§ 630h BGB Umkehr), sondern klärt durch NHS Resolution (Haftung bei diagnostizierbarem Schaden). Meldezahlen daher nicht mit Deutschland vergleichbar. Unterschiede in Entschädigung (no-fault-Prinzipien England vs. Schuldnachweis Deutschland) bestimmen, welche Fehler gemeldet und entschädigt werden.</w:t>
      </w:r>
    </w:p>
    <w:p>
      <w:r>
        <w:rPr>
          <w:b/>
          <w:sz w:val="19"/>
        </w:rPr>
        <w:t xml:space="preserve">Übertragbarkeit: </w:t>
      </w:r>
      <w:r>
        <w:rPr>
          <w:sz w:val="19"/>
        </w:rPr>
        <w:t>Großbritannien/England – Haftungssystem (Entschädigung ohne Schuldnachweis) fundamental anders als Deutschland; Transfer-Vorsicht wegen Meldevergleichbarkeit.</w:t>
      </w:r>
    </w:p>
    <w:p>
      <w:r>
        <w:rPr>
          <w:color w:val="5A7D3A"/>
          <w:sz w:val="18"/>
        </w:rPr>
        <w:t>https://pubmed.ncbi.nlm.nih.gov/42555592/</w:t>
      </w:r>
    </w:p>
    <w:p>
      <w:pPr>
        <w:pStyle w:val="Heading2"/>
      </w:pPr>
      <w:r>
        <w:t>After Action Review verbesser­te Fehlerkultur in irischem Spital, nicht aber Sekundärtraumata von Mitarbeitern</w:t>
      </w:r>
    </w:p>
    <w:p>
      <w:r>
        <w:rPr>
          <w:i/>
          <w:color w:val="666666"/>
          <w:sz w:val="18"/>
        </w:rPr>
        <w:t>McCarthy SE et al.  ·  BMC Health Serv Res  ·  15.07.2026  ·  PMID 42458452</w:t>
      </w:r>
    </w:p>
    <w:p>
      <w:r>
        <w:t>Ein irisches Universitätsspital führte Simulation-basiertes Training in After Action Review (AAR) durch und untersuchte, ob dies die Patientensicherheitskultur (HSOPS 2.0) und das Wohlbefinden von Mitarbeitern (SVEST) nach 12 Monaten verbessert.</w:t>
      </w:r>
    </w:p>
    <w:p>
      <w:r>
        <w:rPr>
          <w:b/>
        </w:rPr>
        <w:t xml:space="preserve">Ergebnis: </w:t>
      </w:r>
      <w:r>
        <w:t>37 % des Personals kannte AAR, 10 % nahmen teil. 39 AAR-Sitzungen wurden durchgeführt (Kosten durchschnittlich 48 Euro). Gesamtsicherheitskultur stieg nicht an (33 % vs. 16 % Responserate, Fallzahl n=586). Aber: Reaktion auf Fehler verbesserte sich (mit AAR-Teilnahme assoziiert). Psychisches und physisches Wohlbefinden der Mitarbeiter verschlechterte sich, ebenso berufliche Selbstwirksamkeit.</w:t>
      </w:r>
    </w:p>
    <w:p>
      <w:r>
        <w:rPr>
          <w:b/>
          <w:sz w:val="19"/>
        </w:rPr>
        <w:t xml:space="preserve">Übertragbarkeit: </w:t>
      </w:r>
      <w:r>
        <w:rPr>
          <w:sz w:val="19"/>
        </w:rPr>
        <w:t>Irland, vergleichbare Meldekultur; AAR-Struktur ist deutsch übertragbar, Resultate aber ernüchternd.</w:t>
      </w:r>
    </w:p>
    <w:p>
      <w:r>
        <w:rPr>
          <w:color w:val="5A7D3A"/>
          <w:sz w:val="18"/>
        </w:rPr>
        <w:t>https://pubmed.ncbi.nlm.nih.gov/42458452/</w:t>
      </w:r>
    </w:p>
    <w:p>
      <w:pPr>
        <w:pStyle w:val="Heading2"/>
      </w:pPr>
      <w:r>
        <w:t>Öffentlichkeit überschätzte Antidepressiva-Wirkung um 11 Punkte (MADRS) und unterschätzte Nebenwirkungshäufigkeit</w:t>
      </w:r>
    </w:p>
    <w:p>
      <w:r>
        <w:rPr>
          <w:i/>
          <w:color w:val="666666"/>
          <w:sz w:val="18"/>
        </w:rPr>
        <w:t>Apel K et al.  ·  Sci Rep  ·  15.07.2026  ·  PMID 42457810</w:t>
      </w:r>
    </w:p>
    <w:p>
      <w:r>
        <w:t>Deutsche Querschnittsstudie (208 Personen mit und ohne Depressionserfahrung) mithilfe von Fallszenarien und normierten Bewertungs­skalen: Wie wirksam müssen Antidepressiva sein, um Nebenwirkungen zu tolerieren.</w:t>
      </w:r>
    </w:p>
    <w:p>
      <w:r>
        <w:rPr>
          <w:b/>
        </w:rPr>
        <w:t xml:space="preserve">Ergebnis: </w:t>
      </w:r>
      <w:r>
        <w:t>Antidepressiva-Wirkung wurde signifikant überschätzt (t(204)=8,96, p&lt;0,001, d=0,63, 11 MADRS-Punkte über echte Rate). Bei 13 von 15 abgefragten Nebenwirkungen wurden Häufigkeiten unterschätzt. Beispiel: Um Anfallsrisiko zu akzeptieren, forderten Befragte Symptomverbesserung um 23,51±8,82 MADRS-Punkte. Diskrepanz zwischen Erwartung und evidenzbasierter Information erheblich.</w:t>
      </w:r>
    </w:p>
    <w:p>
      <w:r>
        <w:rPr>
          <w:b/>
          <w:sz w:val="19"/>
        </w:rPr>
        <w:t xml:space="preserve">Übertragbarkeit: </w:t>
      </w:r>
      <w:r>
        <w:rPr>
          <w:sz w:val="19"/>
        </w:rPr>
        <w:t>Deutschland (Erlangen), direkt anwendbar; zeigt Beratungslücke: Patient-Arzt-Kommunikation muss Risiken explicit adressieren.</w:t>
      </w:r>
    </w:p>
    <w:p>
      <w:r>
        <w:rPr>
          <w:color w:val="5A7D3A"/>
          <w:sz w:val="18"/>
        </w:rPr>
        <w:t>https://pubmed.ncbi.nlm.nih.gov/42457810/</w:t>
      </w:r>
    </w:p>
    <w:p>
      <w:pPr>
        <w:pStyle w:val="Heading1"/>
      </w:pPr>
      <w:r>
        <w:t>Aufgenommen am 14.09.2026</w:t>
      </w:r>
    </w:p>
    <w:p>
      <w:pPr>
        <w:pStyle w:val="Heading2"/>
      </w:pPr>
      <w:r>
        <w:t>Digitale Risikovorhersage-Tools für Medikationsschaden: Klinikerperspektiven zu Adoptionsbarrieren</w:t>
      </w:r>
    </w:p>
    <w:p>
      <w:r>
        <w:rPr>
          <w:i/>
          <w:color w:val="666666"/>
          <w:sz w:val="18"/>
        </w:rPr>
        <w:t>Lam JYJ et al.  ·  J Eval Clin Pract  ·  Sept. 2026  ·  PMID 42732558</w:t>
      </w:r>
    </w:p>
    <w:p>
      <w:r>
        <w:t>Qualitative Studie mit 22 semi-strukturierten Interviews (6 Ärzte, 11 Apotheker, 5 Informatiker) an drei australischen Krankenhäusern: Barrieren und Enabler für die Implementierung digitaler Risikovorhersage-Tools (RPTs) zur Medikationssicherheit.</w:t>
      </w:r>
    </w:p>
    <w:p>
      <w:r>
        <w:rPr>
          <w:b/>
        </w:rPr>
        <w:t xml:space="preserve">Ergebnis: </w:t>
      </w:r>
      <w:r>
        <w:t>Fünf Themen identifiziert: Kliniker-Vertrauen, wahrgenommener Nutzen, organisationale Bereitschaft, Workflow-Integration, Zuverlässigkeit. Gewünschte Merkmale: Automatisierung, Feedback-Funktionalität, Workflow-Kompatibilität. Enablers: umfassendes Feedback, Ressourcentplanung. Barrieren: unzureichende Systemintegration, Tool-Zuverlässigkeitsunsicherheit. 85 % erkannten Wert für Medikationssicherheit.</w:t>
      </w:r>
    </w:p>
    <w:p>
      <w:r>
        <w:rPr>
          <w:b/>
          <w:sz w:val="19"/>
        </w:rPr>
        <w:t xml:space="preserve">Übertragbarkeit: </w:t>
      </w:r>
      <w:r>
        <w:rPr>
          <w:sz w:val="19"/>
        </w:rPr>
        <w:t>Australien, Sozialversicherungssystem unterschiedlich, Implementierungs-Ergebnisse gelten konzeptuell</w:t>
      </w:r>
    </w:p>
    <w:p>
      <w:r>
        <w:rPr>
          <w:color w:val="5A7D3A"/>
          <w:sz w:val="18"/>
        </w:rPr>
        <w:t>https://pubmed.ncbi.nlm.nih.gov/42732558/</w:t>
      </w:r>
    </w:p>
    <w:p>
      <w:pPr>
        <w:pStyle w:val="Heading2"/>
      </w:pPr>
      <w:r>
        <w:t>Frühe Erkennung und Behandlung von CAR-T- und VST-Zelltherapie-Komplikationen: Klinische Leitlinie</w:t>
      </w:r>
    </w:p>
    <w:p>
      <w:r>
        <w:rPr>
          <w:i/>
          <w:color w:val="666666"/>
          <w:sz w:val="18"/>
        </w:rPr>
        <w:t>Ussowicz M et al.  ·  Front Immunol  ·  28.08.2026  ·  PMID 42729916</w:t>
      </w:r>
    </w:p>
    <w:p>
      <w:r>
        <w:t>Narrative Übersicht mit aktualisierten Empfehlungen zur Erkennung und Behandlung früher Toxizitätsprofile nach CAR-T-Zelltherapie und virusspezifischen T-Lymphozyten, basierend auf validierten Grading-Kriterien.</w:t>
      </w:r>
    </w:p>
    <w:p>
      <w:r>
        <w:rPr>
          <w:b/>
        </w:rPr>
        <w:t xml:space="preserve">Ergebnis: </w:t>
      </w:r>
      <w:r>
        <w:t>CRS wird nach ASTCT-Kriterien klassifiziert, Tocilizumab ist Erst-Therapie. Steroid-refraktäre ICANS wird mit hochdosiertem intravenösem Anakinra (bis 12 mg/kg/Tag) behandelt – derzeit best-studied second-line-Option. ICAHT nutzt validiertes EHA/EBMT-Framework (früh Tag 0–30, spät &gt;Tag 30). Übersicht nennt konkrete Monitoreintervalle, ICU-Eskalationskriterien und differenziell-diagnostische Ansätze.</w:t>
      </w:r>
    </w:p>
    <w:p>
      <w:r>
        <w:rPr>
          <w:b/>
          <w:sz w:val="19"/>
        </w:rPr>
        <w:t xml:space="preserve">Übertragbarkeit: </w:t>
      </w:r>
      <w:r>
        <w:rPr>
          <w:sz w:val="19"/>
        </w:rPr>
        <w:t>Europäische und internationale Praxis; Empfehlungen sind versorgungssystemunabhängig</w:t>
      </w:r>
    </w:p>
    <w:p>
      <w:r>
        <w:rPr>
          <w:color w:val="5A7D3A"/>
          <w:sz w:val="18"/>
        </w:rPr>
        <w:t>https://pubmed.ncbi.nlm.nih.gov/42729916/</w:t>
      </w:r>
    </w:p>
    <w:p>
      <w:pPr>
        <w:pStyle w:val="Heading2"/>
      </w:pPr>
      <w:r>
        <w:t>Multidimensionales Nomogramm zur Stratifizierung des Blutinfektionsrisikos bei Hämatologischen Malignitäten</w:t>
      </w:r>
    </w:p>
    <w:p>
      <w:r>
        <w:rPr>
          <w:i/>
          <w:color w:val="666666"/>
          <w:sz w:val="18"/>
        </w:rPr>
        <w:t>Lan L et al.  ·  Front Cell Infect Microbiol  ·  27.08.2026  ·  PMID 42723754</w:t>
      </w:r>
    </w:p>
    <w:p>
      <w:r>
        <w:t>Retrospektive Kohortenstudie mit 3014 Patienten mit hämatologischen Malignitäten: Entwicklung eines Prognosemodells zur Vorhersage von Blutinfektionen und 90-Tage-Mortalität.</w:t>
      </w:r>
    </w:p>
    <w:p>
      <w:r>
        <w:rPr>
          <w:b/>
        </w:rPr>
        <w:t xml:space="preserve">Ergebnis: </w:t>
      </w:r>
      <w:r>
        <w:t>Das Modell für Blutinfektion erreichte AUC 0,775 (Ableitungskohorte) und 0,761 (Validierungskohorte); das Mortalitätsmodell C-Index von 0,721 bzw. 0,713. Neutrophilenzahl ≤0,5 × 10⁹/L erhielt höchste Punkt-Allokation. Polymikrobielle Infektionen zeigten höchste Gewichtung im Mortalitätsmodell. Beide Modelle zeigten akzeptable Kalibrierung.</w:t>
      </w:r>
    </w:p>
    <w:p>
      <w:r>
        <w:rPr>
          <w:b/>
          <w:sz w:val="19"/>
        </w:rPr>
        <w:t xml:space="preserve">Übertragbarkeit: </w:t>
      </w:r>
      <w:r>
        <w:rPr>
          <w:sz w:val="19"/>
        </w:rPr>
        <w:t>China, ähnliche Versorgungsstrukturen in Universitätskliniken; externe Validierung erforderlich</w:t>
      </w:r>
    </w:p>
    <w:p>
      <w:r>
        <w:rPr>
          <w:color w:val="5A7D3A"/>
          <w:sz w:val="18"/>
        </w:rPr>
        <w:t>https://pubmed.ncbi.nlm.nih.gov/42723754/</w:t>
      </w:r>
    </w:p>
    <w:p>
      <w:pPr>
        <w:pStyle w:val="Heading2"/>
      </w:pPr>
      <w:r>
        <w:t>Risikoadjustierung bei Medicare-Advantage mit Encounter-Daten: HCC-Modell-Rekalibrierung</w:t>
      </w:r>
    </w:p>
    <w:p>
      <w:r>
        <w:rPr>
          <w:i/>
          <w:color w:val="666666"/>
          <w:sz w:val="18"/>
        </w:rPr>
        <w:t>Carlin CS et al.  ·  Health Serv Res  ·  Okt. 2026  ·  PMID 42720268</w:t>
      </w:r>
    </w:p>
    <w:p>
      <w:r>
        <w:t>Vergleichende Analyse US-amerikanischer Claims: Replizierung des CMS Hierarchical Condition Category (HCC) Risikomodells mit Traditional Medicare (TM) und Medicare Advantage (MA) Daten 2016–2022; Test der Auswirkungen auf Zahlungsanpassungen.</w:t>
      </w:r>
    </w:p>
    <w:p>
      <w:r>
        <w:rPr>
          <w:b/>
        </w:rPr>
        <w:t xml:space="preserve">Ergebnis: </w:t>
      </w:r>
      <w:r>
        <w:t>MA-basierte HCC-Scores waren 8,9 % niedriger als TM-basierte (p &lt; 0,001). TM-Daten aus 2016–2022 führten zu 1,7 % niedrigeren durchschnittlichen Scores vs. CMS-Standard (2018–2019). Koeffizient-Trends bei steigenden Diagnose-Prävalenzen waren verdünnt. Unterschiede zwischen MA und TM variierten über die Score-Verteilung. Rassische/ethnische oder ländliche Unterschiede in Enrollmentinzentiven entstanden nicht.</w:t>
      </w:r>
    </w:p>
    <w:p>
      <w:r>
        <w:rPr>
          <w:b/>
          <w:sz w:val="19"/>
        </w:rPr>
        <w:t xml:space="preserve">Übertragbarkeit: </w:t>
      </w:r>
      <w:r>
        <w:rPr>
          <w:sz w:val="19"/>
        </w:rPr>
        <w:t>USA, nicht übertragbar; Finanzierungslogik grundlegend anders</w:t>
      </w:r>
    </w:p>
    <w:p>
      <w:r>
        <w:rPr>
          <w:color w:val="5A7D3A"/>
          <w:sz w:val="18"/>
        </w:rPr>
        <w:t>https://pubmed.ncbi.nlm.nih.gov/42720268/</w:t>
      </w:r>
    </w:p>
    <w:p>
      <w:pPr>
        <w:pStyle w:val="Heading2"/>
      </w:pPr>
      <w:r>
        <w:t>Dynamische Probiotika-Strategien für Nekrotisierende Enterokolitis in Frühgeborenen: Studienprotokoll</w:t>
      </w:r>
    </w:p>
    <w:p>
      <w:r>
        <w:rPr>
          <w:i/>
          <w:color w:val="666666"/>
          <w:sz w:val="18"/>
        </w:rPr>
        <w:t>Chehrazi M et al.  ·  BMJ Paediatr Open  ·  19.08.2026  ·  PMID 42618333</w:t>
      </w:r>
    </w:p>
    <w:p>
      <w:r>
        <w:t>Studienprotokoll für Target-Trial-Emulation mit Routinedaten der UK National Neonatal Research Database: Kausaleffekte von vier Probiotika-Entscheidungsdimensionen (Zeitpunkt, Stamm, Substrat, Antibiotikamanagement) bei Frühgeborenen ≤31+6 Wochen.</w:t>
      </w:r>
    </w:p>
    <w:p>
      <w:r>
        <w:rPr>
          <w:b/>
        </w:rPr>
        <w:t xml:space="preserve">Ergebnis: </w:t>
      </w:r>
      <w:r>
        <w:t>Protokoll beschreibt strukturiertes Kausalitätsgerüst für vier Probiotika-Dimensionen und explizite Zeit-Varianz-Berücksichtigung. Primäre Endpunkte: chirurgische Nekrotisierende Enterokolitis, Spätinfektionen und Sterblichkeit. Parametrische g-Formeln werden zur Confounder-Kontrolle verwendet; Ergebnisse sollen Designentwicklung randomisierter Versuche informieren.</w:t>
      </w:r>
    </w:p>
    <w:p>
      <w:r>
        <w:rPr>
          <w:b/>
          <w:sz w:val="19"/>
        </w:rPr>
        <w:t xml:space="preserve">Übertragbarkeit: </w:t>
      </w:r>
      <w:r>
        <w:rPr>
          <w:sz w:val="19"/>
        </w:rPr>
        <w:t>UK-Datenbank, vergleichbar mit deutschen Neonatologiedatensammlungen</w:t>
      </w:r>
    </w:p>
    <w:p>
      <w:r>
        <w:rPr>
          <w:color w:val="5A7D3A"/>
          <w:sz w:val="18"/>
        </w:rPr>
        <w:t>https://pubmed.ncbi.nlm.nih.gov/42618333/</w:t>
      </w:r>
    </w:p>
    <w:p>
      <w:pPr>
        <w:pStyle w:val="Heading2"/>
      </w:pPr>
      <w:r>
        <w:t>Phosphatidylcholin-Störungen bei kritischer Krankheit und Sepsis deuten auf biologische Besonderheit hin</w:t>
      </w:r>
    </w:p>
    <w:p>
      <w:r>
        <w:rPr>
          <w:i/>
          <w:color w:val="666666"/>
          <w:sz w:val="18"/>
        </w:rPr>
        <w:t>Mester P et al.  ·  Int J Mol Sci  ·  30.07.2026  ·  PMID 42589512</w:t>
      </w:r>
    </w:p>
    <w:p>
      <w:r>
        <w:t>Querschnittstudie mit 160 Intensivpatienten: 21 Plasma-Phosphatidylcholin-Spezies wurden gemessen, davon 15 bei SIRS/Sepsis ohne Zirrhose reduziert, nur PC 32:0 konsistent erhöht.</w:t>
      </w:r>
    </w:p>
    <w:p>
      <w:r>
        <w:rPr>
          <w:b/>
        </w:rPr>
        <w:t xml:space="preserve">Ergebnis: </w:t>
      </w:r>
      <w:r>
        <w:t>Bei SIRS/Sepsis ohne Leberzirrhose zeigten sich 15 PC-Spezies deutlich vermindert (p &lt; 0,05), während PC 32:0 erhöht war. Das Muster persistierte bei kombinierter Leberzirrhose. Keine signifikanten Unterschiede zwischen Überlebenden und Verstorbenen. PC 32:0-Erhöhung war transversgeschnitten konsistent und könnte eigene biologische Rolle spielen.</w:t>
      </w:r>
    </w:p>
    <w:p>
      <w:r>
        <w:rPr>
          <w:b/>
          <w:sz w:val="19"/>
        </w:rPr>
        <w:t xml:space="preserve">Übertragbarkeit: </w:t>
      </w:r>
      <w:r>
        <w:rPr>
          <w:sz w:val="19"/>
        </w:rPr>
        <w:t>Deutschland, diagnostische Markerbewertung ohne operative Folgerung; Datengrundlage unklar</w:t>
      </w:r>
    </w:p>
    <w:p>
      <w:r>
        <w:rPr>
          <w:color w:val="5A7D3A"/>
          <w:sz w:val="18"/>
        </w:rPr>
        <w:t>https://pubmed.ncbi.nlm.nih.gov/42589512/</w:t>
      </w:r>
    </w:p>
    <w:p>
      <w:pPr>
        <w:pStyle w:val="Heading2"/>
      </w:pPr>
      <w:r>
        <w:t>Natürliche Belüftung in Isoliermodulen reduziert Infektionsrisiko für Personal bei 160 L/s Luftwechsel</w:t>
      </w:r>
    </w:p>
    <w:p>
      <w:r>
        <w:rPr>
          <w:i/>
          <w:color w:val="666666"/>
          <w:sz w:val="18"/>
        </w:rPr>
        <w:t>Fontana L et al.  ·  Infect Control Hosp Epidemiol  ·  16.07.2026  ·  PMID 42460458</w:t>
      </w:r>
    </w:p>
    <w:p>
      <w:r>
        <w:t>Experimentelle CFD-Validierung und Simulation für tragbare Infektionsbehandlungsmodule (IDTM): Windgestützte natürliche Belüftung unter Variation von Windgeschwindigkeit (1–4 m/s) und Konfiguration; Infektionsrisiko mittels Wells-Riley-Modell für sieben Atemwegskeime quantifiziert.</w:t>
      </w:r>
    </w:p>
    <w:p>
      <w:r>
        <w:rPr>
          <w:b/>
        </w:rPr>
        <w:t xml:space="preserve">Ergebnis: </w:t>
      </w:r>
      <w:r>
        <w:t>Luftstrom variierte von 7 L/s (optimales Zugriffsmodul mit Windschutz + Moskitonetz bei 1 m/s) bis &gt;3100 L/s (ohne Netze bei 4 m/s). Bei 160 L/s Luftwechsel reduzierte sich Kurzzeit-Infektionsrisiko für Fachpersonal auf ≤1 % für alle Keime, Langzeit-Koexposition bei hohem Emissions-Erreger blieb jedoch risikobehaftet. Entfernung der Fenster-Netze war Wirksamste Massnahme; Hybrid-Belüftung nötig bei niedriger Windgeschwindigkeit.</w:t>
      </w:r>
    </w:p>
    <w:p>
      <w:r>
        <w:rPr>
          <w:b/>
          <w:sz w:val="19"/>
        </w:rPr>
        <w:t xml:space="preserve">Übertragbarkeit: </w:t>
      </w:r>
      <w:r>
        <w:rPr>
          <w:sz w:val="19"/>
        </w:rPr>
        <w:t>Schweiz/Österreich, modulare Isolierinfrastruktur; Ergebnis ist auf Notfallkapazität übertragbar</w:t>
      </w:r>
    </w:p>
    <w:p>
      <w:r>
        <w:rPr>
          <w:color w:val="5A7D3A"/>
          <w:sz w:val="18"/>
        </w:rPr>
        <w:t>https://pubmed.ncbi.nlm.nih.gov/42460458/</w:t>
      </w:r>
    </w:p>
    <w:p>
      <w:pPr>
        <w:pStyle w:val="Heading1"/>
      </w:pPr>
      <w:r>
        <w:t>Aufgenommen am 13.09.2026</w:t>
      </w:r>
    </w:p>
    <w:p>
      <w:pPr>
        <w:pStyle w:val="Heading2"/>
      </w:pPr>
      <w:r>
        <w:t>TeamSTEPPS-Workshop verbessert Teamfähigkeit und Kommunikationswissen bei Studierenden</w:t>
      </w:r>
    </w:p>
    <w:p>
      <w:r>
        <w:rPr>
          <w:i/>
          <w:color w:val="666666"/>
          <w:sz w:val="18"/>
        </w:rPr>
        <w:t>Yin Y et al.  ·  Nurs Open  ·  Sept. 2026  ·  PMID 42728718</w:t>
      </w:r>
    </w:p>
    <w:p>
      <w:r>
        <w:t>Evaluierung eines 4-stündigen TeamSTEPPS-Workshops mit Szenarien und Simulation für Studierende des dritten Jahres zur Verbesserung von Teamfähigkeit und Kommunikation im Versorgungskontext.</w:t>
      </w:r>
    </w:p>
    <w:p>
      <w:r>
        <w:rPr>
          <w:b/>
        </w:rPr>
        <w:t xml:space="preserve">Ergebnis: </w:t>
      </w:r>
      <w:r>
        <w:t>Gesamtscore der Chinese TeamSTEPPS Teamwork Perceptions Questionnaire stieg von 149,06±15,18 auf 159,45±16,28 (signifikant); Wissensprüfung stieg von 80,14±18,29 auf 87,33±8,43; Verbesserungen in Teamstruktur, Führung, Situationsbewusstsein und gegenseitiger Unterstützung.</w:t>
      </w:r>
    </w:p>
    <w:p>
      <w:r>
        <w:rPr>
          <w:b/>
          <w:sz w:val="19"/>
        </w:rPr>
        <w:t xml:space="preserve">Übertragbarkeit: </w:t>
      </w:r>
      <w:r>
        <w:rPr>
          <w:sz w:val="19"/>
        </w:rPr>
        <w:t>China, aber Transfer zu Deutschland durch standardisierte Simulation und etablierte Teamwork-Tools.</w:t>
      </w:r>
    </w:p>
    <w:p>
      <w:r>
        <w:rPr>
          <w:color w:val="5A7D3A"/>
          <w:sz w:val="18"/>
        </w:rPr>
        <w:t>https://pubmed.ncbi.nlm.nih.gov/42728718/</w:t>
      </w:r>
    </w:p>
    <w:p>
      <w:pPr>
        <w:pStyle w:val="Heading2"/>
      </w:pPr>
      <w:r>
        <w:t>Vasopressoranwendung bei Sepsis in Uganda und Ruanda: Prädiktoren für deren Einsatz</w:t>
      </w:r>
    </w:p>
    <w:p>
      <w:r>
        <w:rPr>
          <w:i/>
          <w:color w:val="666666"/>
          <w:sz w:val="18"/>
        </w:rPr>
        <w:t>Girard WS et al.  ·  Crit Care Explor  ·  01.09.2026  ·  PMID 42726203</w:t>
      </w:r>
    </w:p>
    <w:p>
      <w:r>
        <w:t>Retrospektive Kohortenstudie zu Vasopressoranwendung bei sepsierten Patienten in zwei Hochseuchenlastkliniken Ostafrikas mit Analyse der Behandlungsmuster.</w:t>
      </w:r>
    </w:p>
    <w:p>
      <w:r>
        <w:rPr>
          <w:b/>
        </w:rPr>
        <w:t xml:space="preserve">Ergebnis: </w:t>
      </w:r>
      <w:r>
        <w:t>Von 471 Septikämie-Patienten erhielten 24% (n=113) Vasopressoren; erhöhte UVA-Mortalitätsrisikoscores waren der stärkste Prädiktor für Vasopressoranwendung (adjustiertes OR 1,25; 95%-KI 1,14-1,27; p&lt;0,001); Sterblichkeit lag bei 30% (n=139).</w:t>
      </w:r>
    </w:p>
    <w:p>
      <w:r>
        <w:rPr>
          <w:b/>
          <w:sz w:val="19"/>
        </w:rPr>
        <w:t xml:space="preserve">Übertragbarkeit: </w:t>
      </w:r>
      <w:r>
        <w:rPr>
          <w:sz w:val="19"/>
        </w:rPr>
        <w:t>Uganda/Ruanda - Limitierte Ressourcen, aber Sepsismanagement relevant für alle Kontexte.</w:t>
      </w:r>
    </w:p>
    <w:p>
      <w:r>
        <w:rPr>
          <w:color w:val="5A7D3A"/>
          <w:sz w:val="18"/>
        </w:rPr>
        <w:t>https://pubmed.ncbi.nlm.nih.gov/42726203/</w:t>
      </w:r>
    </w:p>
    <w:p>
      <w:pPr>
        <w:pStyle w:val="Heading2"/>
      </w:pPr>
      <w:r>
        <w:t>Cefiderocol-Resistenztrends bei carbapenemresistenter Klebsiella pneumoniae vor klinischer Einführung</w:t>
      </w:r>
    </w:p>
    <w:p>
      <w:r>
        <w:rPr>
          <w:i/>
          <w:color w:val="666666"/>
          <w:sz w:val="18"/>
        </w:rPr>
        <w:t>Wang M et al.  ·  Front Cell Infect Microbiol  ·  27.08.2026  ·  PMID 42723943</w:t>
      </w:r>
    </w:p>
    <w:p>
      <w:r>
        <w:t>Retrospektive Analyse von 83 carbapenemresistenten K.-pneumoniae-Isolaten aus Blutkultur-Episoden eines chinesischen Tertiärkrankenhauses mit Cefiderocol-MIC-Bestimmung und genomischer Charakterisierung.</w:t>
      </w:r>
    </w:p>
    <w:p>
      <w:r>
        <w:rPr>
          <w:b/>
        </w:rPr>
        <w:t xml:space="preserve">Ergebnis: </w:t>
      </w:r>
      <w:r>
        <w:t>83,1% der Isolate waren nach CLSI-Kriterien Cefiderocol-empfindlich; MIC50 4 mg/L, MIC90 8 mg/L; 41% erfüllten Reduziertempfindlichkeitskriterien; ST11-Klone mit KL47/KL64 zeigten höhere MICs; bla_NDM-1 und Virulenzplasmide waren mit reduzierter Empfindlichkeit assoziiert.</w:t>
      </w:r>
    </w:p>
    <w:p>
      <w:r>
        <w:rPr>
          <w:b/>
          <w:sz w:val="19"/>
        </w:rPr>
        <w:t xml:space="preserve">Übertragbarkeit: </w:t>
      </w:r>
      <w:r>
        <w:rPr>
          <w:sz w:val="19"/>
        </w:rPr>
        <w:t>China, aber Resistenzmuster und Baseline vor Arzneimittelexposition international relevant.</w:t>
      </w:r>
    </w:p>
    <w:p>
      <w:r>
        <w:rPr>
          <w:color w:val="5A7D3A"/>
          <w:sz w:val="18"/>
        </w:rPr>
        <w:t>https://pubmed.ncbi.nlm.nih.gov/42723943/</w:t>
      </w:r>
    </w:p>
    <w:p>
      <w:pPr>
        <w:pStyle w:val="Heading2"/>
      </w:pPr>
      <w:r>
        <w:t>Schnelle Diagnostik von Blutkultur-Infektionen spart Leben und Kosten</w:t>
      </w:r>
    </w:p>
    <w:p>
      <w:r>
        <w:rPr>
          <w:i/>
          <w:color w:val="666666"/>
          <w:sz w:val="18"/>
        </w:rPr>
        <w:t>Karichu JK et al.  ·  J Med Econ  ·  10.09.2026  ·  PMID 42720132</w:t>
      </w:r>
    </w:p>
    <w:p>
      <w:r>
        <w:t>Budget-Impact-Analyse für England und USA zur Vorhersage der Kosteneffektivität von molekularen Schnelltests zur Pathogenerkennung bei Septikämien von 2025–2029.</w:t>
      </w:r>
    </w:p>
    <w:p>
      <w:r>
        <w:rPr>
          <w:b/>
        </w:rPr>
        <w:t xml:space="preserve">Ergebnis: </w:t>
      </w:r>
      <w:r>
        <w:t>In England 927000 BSI-Fälle vorhergesagt; Einsatz von Cobas Eplex BCID würde 1864 Leben retten und über £40 Millionen einsparen; in den USA 6882 Leben gerettet und über $450 Millionen Ersparnis; schnellere Pathogenidentifikation ermöglicht frühere Therapieoptimierung.</w:t>
      </w:r>
    </w:p>
    <w:p>
      <w:r>
        <w:rPr>
          <w:b/>
          <w:sz w:val="19"/>
        </w:rPr>
        <w:t xml:space="preserve">Übertragbarkeit: </w:t>
      </w:r>
      <w:r>
        <w:rPr>
          <w:sz w:val="19"/>
        </w:rPr>
        <w:t>England und USA, aber Technologie und Kostenperspektive relevant für deutsche Gesundheitssysteme.</w:t>
      </w:r>
    </w:p>
    <w:p>
      <w:r>
        <w:rPr>
          <w:color w:val="5A7D3A"/>
          <w:sz w:val="18"/>
        </w:rPr>
        <w:t>https://pubmed.ncbi.nlm.nih.gov/42720132/</w:t>
      </w:r>
    </w:p>
    <w:p>
      <w:pPr>
        <w:pStyle w:val="Heading2"/>
      </w:pPr>
      <w:r>
        <w:t>Hochgradige Transaminasenerhöhung ohne Hyperbilirubinämie: Unterschätzte Mortalitätsprognose</w:t>
      </w:r>
    </w:p>
    <w:p>
      <w:r>
        <w:rPr>
          <w:i/>
          <w:color w:val="666666"/>
          <w:sz w:val="18"/>
        </w:rPr>
        <w:t>Chalasani N et al.  ·  Clin Pharmacol Ther  ·  25.07.2026  ·  PMID 42502235</w:t>
      </w:r>
    </w:p>
    <w:p>
      <w:r>
        <w:t>Analyse von zwei Registern (DILIN und spanisches DILI-Register) mit insgesamt 964 Patienten zur prognostischen Bedeutung sehr hoher Transaminasen bei niedrig-normalem Bilirubin für druginduzierten Leberschaden.</w:t>
      </w:r>
    </w:p>
    <w:p>
      <w:r>
        <w:rPr>
          <w:b/>
        </w:rPr>
        <w:t xml:space="preserve">Ergebnis: </w:t>
      </w:r>
      <w:r>
        <w:t>Bei sehr hohem ALT und normalem Bilirubin entwickelten nur 1,3% die nR-basierte Hy's Law; minimale Bilirubinerhöhung erhöhte Risiko markant (OR 7,8); besonders hohe Transaminasen (&gt;1000 U/L) mit minimalen Bilirubinwerten hatten höchstes Risiko (OR 23,6).</w:t>
      </w:r>
    </w:p>
    <w:p>
      <w:r>
        <w:rPr>
          <w:b/>
          <w:sz w:val="19"/>
        </w:rPr>
        <w:t xml:space="preserve">Übertragbarkeit: </w:t>
      </w:r>
      <w:r>
        <w:rPr>
          <w:sz w:val="19"/>
        </w:rPr>
        <w:t>USA/Spanien, aber Befunde zur Prognoseeinschätzung unabhängig von Haftungskontext.</w:t>
      </w:r>
    </w:p>
    <w:p>
      <w:r>
        <w:rPr>
          <w:color w:val="5A7D3A"/>
          <w:sz w:val="18"/>
        </w:rPr>
        <w:t>https://pubmed.ncbi.nlm.nih.gov/42502235/</w:t>
      </w:r>
    </w:p>
    <w:p>
      <w:pPr>
        <w:pStyle w:val="Heading2"/>
      </w:pPr>
      <w:r>
        <w:t>Unbeabsichtigte Medikamentendiskrepanzen in Übergangsphasen: Überprüfungsfehler als Hauptursache</w:t>
      </w:r>
    </w:p>
    <w:p>
      <w:r>
        <w:rPr>
          <w:i/>
          <w:color w:val="666666"/>
          <w:sz w:val="18"/>
        </w:rPr>
        <w:t>Limmen B et al.  ·  Int J Clin Pharm  ·  18.07.2026  ·  PMID 42470584</w:t>
      </w:r>
    </w:p>
    <w:p>
      <w:r>
        <w:t>Analyse von 992 freiwillig gemeldeten Medikamentenzwischenfällen in Übergangsphasen aus niederländischen Krankenhäusern zur Identifikation der Ursachen von unbeabsichtigten Medikamentendiskrepanzen.</w:t>
      </w:r>
    </w:p>
    <w:p>
      <w:r>
        <w:rPr>
          <w:b/>
        </w:rPr>
        <w:t xml:space="preserve">Ergebnis: </w:t>
      </w:r>
      <w:r>
        <w:t>94% der Zwischenfälle waren menschliche Fehler, davon 49,6% Überprüfungsfehler und 24,8% Interventionsfehler; 74,1% erreichten den Patienten; Omissionen waren die häufigsten Diskrepanztypen (36,2%); kardiovaskuläre Medikamente am häufigsten betroffen (24,9%).</w:t>
      </w:r>
    </w:p>
    <w:p>
      <w:r>
        <w:rPr>
          <w:b/>
          <w:sz w:val="19"/>
        </w:rPr>
        <w:t xml:space="preserve">Übertragbarkeit: </w:t>
      </w:r>
      <w:r>
        <w:rPr>
          <w:sz w:val="19"/>
        </w:rPr>
        <w:t>Niederlande, vergleichbares Versicherungssystem und Dokumentationspflichten.</w:t>
      </w:r>
    </w:p>
    <w:p>
      <w:r>
        <w:rPr>
          <w:color w:val="5A7D3A"/>
          <w:sz w:val="18"/>
        </w:rPr>
        <w:t>https://pubmed.ncbi.nlm.nih.gov/42470584/</w:t>
      </w:r>
    </w:p>
    <w:p>
      <w:pPr>
        <w:pStyle w:val="Heading1"/>
      </w:pPr>
      <w:r>
        <w:t>Aufgenommen am 12.09.2026</w:t>
      </w:r>
    </w:p>
    <w:p>
      <w:pPr>
        <w:pStyle w:val="Heading2"/>
      </w:pPr>
      <w:r>
        <w:t>Ungeeignete Arzneimittelkaskaden in älteren Erwachsenen: Priorisierung nach Epidemiologie und Assoziationsstärke</w:t>
      </w:r>
    </w:p>
    <w:p>
      <w:r>
        <w:rPr>
          <w:i/>
          <w:color w:val="666666"/>
          <w:sz w:val="18"/>
        </w:rPr>
        <w:t>Rochon PA et al.  ·  BMJ  ·  10.09.2026  ·  PMID 42727946</w:t>
      </w:r>
    </w:p>
    <w:p>
      <w:r>
        <w:t>Bevölkerungsbasierte Analyse administrativer Daten zur Identifikation potenziell unerwünschter Verschreibungskaskaden in der älteren kanadischen Bevölkerung mit systematischer Priorisierung.</w:t>
      </w:r>
    </w:p>
    <w:p>
      <w:r>
        <w:rPr>
          <w:b/>
        </w:rPr>
        <w:t xml:space="preserve">Ergebnis: </w:t>
      </w:r>
      <w:r>
        <w:t>24 von 65 untersuchten Kaskaden erfüllten Priorisierungskriterien (Prävalenz ≥5%, Inzidenz ≥1%, angepasste Sequenzratio &gt;1). Höchste Inzidenzen: Eisen-zu-Laxans 11,9%, Statine-zu-Schmerzmittel 10,9%, Cholinesterase-Inhibitor-zu-Schlafmittel 10,3%. Stärkste zeitliche Assoziationen: Kortikosteroid-zu-Antipsychotika RR 2,55, Laxans-zu-Antidiarrhöika RR 2,53.</w:t>
      </w:r>
    </w:p>
    <w:p>
      <w:r>
        <w:rPr>
          <w:b/>
          <w:sz w:val="19"/>
        </w:rPr>
        <w:t xml:space="preserve">Übertragbarkeit: </w:t>
      </w:r>
      <w:r>
        <w:rPr>
          <w:sz w:val="19"/>
        </w:rPr>
        <w:t>Kanada, vergleichbarer Versicherungskontext, Deprescribing-Ansätze übertragbar</w:t>
      </w:r>
    </w:p>
    <w:p>
      <w:r>
        <w:rPr>
          <w:color w:val="5A7D3A"/>
          <w:sz w:val="18"/>
        </w:rPr>
        <w:t>https://pubmed.ncbi.nlm.nih.gov/42727946/</w:t>
      </w:r>
    </w:p>
    <w:p>
      <w:pPr>
        <w:pStyle w:val="Heading2"/>
      </w:pPr>
      <w:r>
        <w:t>Chirurgische Wundinfektionen in Frankreich: Systemische Analyse von Häufigkeit, Kosten und Wiederaufnahmen</w:t>
      </w:r>
    </w:p>
    <w:p>
      <w:r>
        <w:rPr>
          <w:i/>
          <w:color w:val="666666"/>
          <w:sz w:val="18"/>
        </w:rPr>
        <w:t>Aragno VA et al.  ·  Inquiry  ·  11.09.2026  ·  PMID 42727077</w:t>
      </w:r>
    </w:p>
    <w:p>
      <w:r>
        <w:t>Retrospektive Analyse der französischen Krankenversicherungsdatenbank zu Häufigkeit und Kostenfolgen von Wundkomplikationen nach elektiven Operationen in vier Fachgebieten.</w:t>
      </w:r>
    </w:p>
    <w:p>
      <w:r>
        <w:rPr>
          <w:b/>
        </w:rPr>
        <w:t xml:space="preserve">Ergebnis: </w:t>
      </w:r>
      <w:r>
        <w:t>Infektionsraten (SSI) ranged 0.44 % (orthopädisch) to 3.09 % (Magen-Darm); Herzchirurgie zeigte höchste Komplikationsrate 14,91 %. Wundkomplikationen führten zu 11–28 zusätzlichen Hospitalisierungstagen und 6.622–22.109 Euro Mehrkosten pro Fall; Wiederaufnahmen insgesamt 840 Mio. Euro Belastung pro Jahr. Vergleichbare administrative Datenqualität zu Deutschland.</w:t>
      </w:r>
    </w:p>
    <w:p>
      <w:r>
        <w:rPr>
          <w:b/>
          <w:sz w:val="19"/>
        </w:rPr>
        <w:t xml:space="preserve">Übertragbarkeit: </w:t>
      </w:r>
      <w:r>
        <w:rPr>
          <w:sz w:val="19"/>
        </w:rPr>
        <w:t>Frankreich, vergleichbare Sozialversicherung, PMSI-Datensatz ähnlich Fallpauschalensystem</w:t>
      </w:r>
    </w:p>
    <w:p>
      <w:r>
        <w:rPr>
          <w:color w:val="5A7D3A"/>
          <w:sz w:val="18"/>
        </w:rPr>
        <w:t>https://pubmed.ncbi.nlm.nih.gov/42727077/</w:t>
      </w:r>
    </w:p>
    <w:p>
      <w:pPr>
        <w:pStyle w:val="Heading2"/>
      </w:pPr>
      <w:r>
        <w:t>Multiresistente Blutstrominfektion bei Kindern mit Hochrisiko-Leukämie: Levofloxacin-Prophylaxe und Resistenzentwicklung</w:t>
      </w:r>
    </w:p>
    <w:p>
      <w:r>
        <w:rPr>
          <w:i/>
          <w:color w:val="666666"/>
          <w:sz w:val="18"/>
        </w:rPr>
        <w:t>Alsabagh M et al.  ·  Pol Merkur Lekarski  ·  2026  ·  PMID 42726826</w:t>
      </w:r>
    </w:p>
    <w:p>
      <w:r>
        <w:t>Retrospektive Kohortenstudie zum Vergleich von multiresistenter Kolonisation und Blutstrominfektion bei intensiv chemotherapierten Kindern mit und ohne Fluorchinolon-Prophylaxe.</w:t>
      </w:r>
    </w:p>
    <w:p>
      <w:r>
        <w:rPr>
          <w:b/>
        </w:rPr>
        <w:t xml:space="preserve">Ergebnis: </w:t>
      </w:r>
      <w:r>
        <w:t>82 Kinder (67,1% männlich), medianes Alter 10 Jahre. Febrile Neutropenie in 89,3% der Zyklen. Fluorchinolon-Empfindlichkeit niedrig: 16% bei rektalen und 11,8% bei Blutkultur-Isolaten, abnehmend über Zyklen. Mortalität assoziiert mit multiresistenter Klebsiella pneumoniae und Fluorchinolon-Resistenz. Routine-Levofloxacin-Prophylaxe bietet begrenzte Vorteile.</w:t>
      </w:r>
    </w:p>
    <w:p>
      <w:r>
        <w:rPr>
          <w:b/>
          <w:sz w:val="19"/>
        </w:rPr>
        <w:t xml:space="preserve">Übertragbarkeit: </w:t>
      </w:r>
      <w:r>
        <w:rPr>
          <w:sz w:val="19"/>
        </w:rPr>
        <w:t>Ägypten, Antibiotic-Stewardship-Problem international relevant</w:t>
      </w:r>
    </w:p>
    <w:p>
      <w:r>
        <w:rPr>
          <w:color w:val="5A7D3A"/>
          <w:sz w:val="18"/>
        </w:rPr>
        <w:t>https://pubmed.ncbi.nlm.nih.gov/42726826/</w:t>
      </w:r>
    </w:p>
    <w:p>
      <w:pPr>
        <w:pStyle w:val="Heading2"/>
      </w:pPr>
      <w:r>
        <w:t>Multizentrischer Ausbruch durch Candida viswanathii in kontaminiertem Milrinon, Italien 2025</w:t>
      </w:r>
    </w:p>
    <w:p>
      <w:r>
        <w:rPr>
          <w:i/>
          <w:color w:val="666666"/>
          <w:sz w:val="18"/>
        </w:rPr>
        <w:t>Mesini A et al.  ·  Euro Surveill  ·  Sept. 2026  ·  PMID 42725369</w:t>
      </w:r>
    </w:p>
    <w:p>
      <w:r>
        <w:t>Epidemiologische Untersuchung eines Ausbruchs von Blutstrominfektion durch ein seltenes Hefepilz-Medikament-assoziiert nach hypothesengestützter Ermittlung.</w:t>
      </w:r>
    </w:p>
    <w:p>
      <w:r>
        <w:rPr>
          <w:b/>
        </w:rPr>
        <w:t xml:space="preserve">Ergebnis: </w:t>
      </w:r>
      <w:r>
        <w:t>40 Fälle von Kandidämie in vier italienischen Zentren, April–Oktober 2025, alle durch kontaminiertes Milrinon verursacht. Starke geografische Assoziation mit indischem Subkontinent führte zur Identifikation des Infektionsöls. Sofortige Maßnahmen: Produktrückzug, Benachrichtigung der Behörden, aktive mikrobiologische Überwachung exponierter Patienten.</w:t>
      </w:r>
    </w:p>
    <w:p>
      <w:r>
        <w:rPr>
          <w:b/>
          <w:sz w:val="19"/>
        </w:rPr>
        <w:t xml:space="preserve">Übertragbarkeit: </w:t>
      </w:r>
      <w:r>
        <w:rPr>
          <w:sz w:val="19"/>
        </w:rPr>
        <w:t>Europa-Italien, klinische Ausbruchserkennung und Pharmakovigilanz übertragbar</w:t>
      </w:r>
    </w:p>
    <w:p>
      <w:r>
        <w:rPr>
          <w:color w:val="5A7D3A"/>
          <w:sz w:val="18"/>
        </w:rPr>
        <w:t>https://pubmed.ncbi.nlm.nih.gov/42725369/</w:t>
      </w:r>
    </w:p>
    <w:p>
      <w:pPr>
        <w:pStyle w:val="Heading2"/>
      </w:pPr>
      <w:r>
        <w:t>Aufbereitung chirurgischer Instrumente in Katastrophenfällen: Barrieren, Lücken und Handlungsoptionen</w:t>
      </w:r>
    </w:p>
    <w:p>
      <w:r>
        <w:rPr>
          <w:i/>
          <w:color w:val="666666"/>
          <w:sz w:val="18"/>
        </w:rPr>
        <w:t>Nematollahi MS et al.  ·  Antimicrob Resist Infect Control  ·  28.08.2026  ·  PMID 42723127</w:t>
      </w:r>
    </w:p>
    <w:p>
      <w:r>
        <w:t>Systematischer Review zu Vulnerabilitäten, Barrieren und adaptiven Strategien bei der Sterilisation wiederverwendbarer Instrumente während Infektionsausbrüchen und Katastrophen.</w:t>
      </w:r>
    </w:p>
    <w:p>
      <w:r>
        <w:rPr>
          <w:b/>
        </w:rPr>
        <w:t xml:space="preserve">Ergebnis: </w:t>
      </w:r>
      <w:r>
        <w:t>11 Studien aus neun Ländern. Wiederkehrende Barrieren: unvollständige Reinigung, mangelhafte Lumen-Dekontamination, Geräteausfälle, kontaminierte Wasser-/Spülsysteme, begrenzte Notfallvorbereitung, Personalengpässe, fehlende Instrumentenverfolgung. Adaptive Strategien: standardisierte Reinigungsprotokolle, Umgebungsüberwachung, Schulung, mobile/Container-Sterilisationskapazität, Notfall-Aufbereitungskonzepte. Herausforderungen sind operational-infrastrukturell, nicht isoliert technisch.</w:t>
      </w:r>
    </w:p>
    <w:p>
      <w:r>
        <w:rPr>
          <w:b/>
          <w:sz w:val="19"/>
        </w:rPr>
        <w:t xml:space="preserve">Übertragbarkeit: </w:t>
      </w:r>
      <w:r>
        <w:rPr>
          <w:sz w:val="19"/>
        </w:rPr>
        <w:t>Internationale Evidenz aus Ausbruchsuntersuchungen, auf Deutschland übertragbar</w:t>
      </w:r>
    </w:p>
    <w:p>
      <w:r>
        <w:rPr>
          <w:color w:val="5A7D3A"/>
          <w:sz w:val="18"/>
        </w:rPr>
        <w:t>https://pubmed.ncbi.nlm.nih.gov/42723127/</w:t>
      </w:r>
    </w:p>
    <w:p>
      <w:pPr>
        <w:pStyle w:val="Heading2"/>
      </w:pPr>
      <w:r>
        <w:t>CXCL10-Genotyp rs8878 und T-Zell-Erhalt im Sepsis-Verlauf: Biomarker für Risikostratifizierung</w:t>
      </w:r>
    </w:p>
    <w:p>
      <w:r>
        <w:rPr>
          <w:i/>
          <w:color w:val="666666"/>
          <w:sz w:val="18"/>
        </w:rPr>
        <w:t>Dyck B et al.  ·  Front Immunol  ·  17.07.2026  ·  PMID 42540005</w:t>
      </w:r>
    </w:p>
    <w:p>
      <w:r>
        <w:t>Prospektive Kohortenstudie zu Assoziation des CXCL10-Genotyps mit T-Lymphozyten-Homöostase und 30-Tage-Mortalität bei Sepsis-Patienten in Deutschland.</w:t>
      </w:r>
    </w:p>
    <w:p>
      <w:r>
        <w:rPr>
          <w:b/>
        </w:rPr>
        <w:t xml:space="preserve">Ergebnis: </w:t>
      </w:r>
      <w:r>
        <w:t>278 sepsis-Patienten untersucht. AA-Genotyp-Träger hatten höhere zirkulierende T-Zell-Zahlen und verbesserte Überlebenschancen vs. G-Allel-Träger. Höhere Gesamt- und CD8+-T-Zell-Zahlen signifikant mit verbessertem Überleben assoziiert. CXCL10-Konzentrationen Tag 1 positiv mit IL-6, IL-8, IL-10, IL-18, MCP-1, IFN-γ korreliert, invers mit T-Zell-Zahlen. AA-Genotyp prädiktiv für bessere 30-Tage-Überlebenschance.</w:t>
      </w:r>
    </w:p>
    <w:p>
      <w:r>
        <w:rPr>
          <w:b/>
          <w:sz w:val="19"/>
        </w:rPr>
        <w:t xml:space="preserve">Übertragbarkeit: </w:t>
      </w:r>
      <w:r>
        <w:rPr>
          <w:sz w:val="19"/>
        </w:rPr>
        <w:t>Deutschland, Ruhr-Universität Bochum, direkt auf deutsches Patientenkollektiv anwendbar</w:t>
      </w:r>
    </w:p>
    <w:p>
      <w:r>
        <w:rPr>
          <w:color w:val="5A7D3A"/>
          <w:sz w:val="18"/>
        </w:rPr>
        <w:t>https://pubmed.ncbi.nlm.nih.gov/42540005/</w:t>
      </w:r>
    </w:p>
    <w:p>
      <w:pPr>
        <w:pStyle w:val="Heading1"/>
      </w:pPr>
      <w:r>
        <w:t>Aufgenommen am 11.09.2026</w:t>
      </w:r>
    </w:p>
    <w:p>
      <w:pPr>
        <w:pStyle w:val="Heading2"/>
      </w:pPr>
      <w:r>
        <w:t>Rapid diagnostik senkt Zeitspanne bei Gram-negativer Sepsis um 14-19 Stunden</w:t>
      </w:r>
    </w:p>
    <w:p>
      <w:r>
        <w:rPr>
          <w:i/>
          <w:color w:val="666666"/>
          <w:sz w:val="18"/>
        </w:rPr>
        <w:t>Benyahia M et al.  ·  PLoS One  ·  10.09.2026  ·  PMID 42721154</w:t>
      </w:r>
    </w:p>
    <w:p>
      <w:r>
        <w:t>Prospektive Studie zur Beschleunigung der Diagnostik bei Gram-negativen Blutstrominfektionen auf Intensivstationen mit molekularen und schnellen Empfindlichkeitsmethoden.</w:t>
      </w:r>
    </w:p>
    <w:p>
      <w:r>
        <w:rPr>
          <w:b/>
        </w:rPr>
        <w:t xml:space="preserve">Ergebnis: </w:t>
      </w:r>
      <w:r>
        <w:t>BioFire BCID2 und Vitek REVEAL reduzierten die Identifikationszeit um 19,0 Stunden und die Empfindlichkeitstestung um 14,9 Stunden bei 50 ICU-Patienten mit Monomikrobium-Infektionen; kategoriale Übereinstimmung mit Standardmethoden 97,7%.</w:t>
      </w:r>
    </w:p>
    <w:p>
      <w:r>
        <w:rPr>
          <w:b/>
          <w:sz w:val="19"/>
        </w:rPr>
        <w:t xml:space="preserve">Übertragbarkeit: </w:t>
      </w:r>
      <w:r>
        <w:rPr>
          <w:sz w:val="19"/>
        </w:rPr>
        <w:t>Frankreich, vergleichbares Dokumentationssystem in der Intensivmedizin</w:t>
      </w:r>
    </w:p>
    <w:p>
      <w:r>
        <w:rPr>
          <w:color w:val="5A7D3A"/>
          <w:sz w:val="18"/>
        </w:rPr>
        <w:t>https://pubmed.ncbi.nlm.nih.gov/42721154/</w:t>
      </w:r>
    </w:p>
    <w:p>
      <w:pPr>
        <w:pStyle w:val="Heading2"/>
      </w:pPr>
      <w:r>
        <w:t>Albuminmangel nach E.-coli-Sepsis erhöht Sterblichkeit um 10-fach bei Kindern</w:t>
      </w:r>
    </w:p>
    <w:p>
      <w:r>
        <w:rPr>
          <w:i/>
          <w:color w:val="666666"/>
          <w:sz w:val="18"/>
        </w:rPr>
        <w:t>Cheng J et al.  ·  Ann Med  ·  10.09.2026  ·  PMID 42720514</w:t>
      </w:r>
    </w:p>
    <w:p>
      <w:r>
        <w:t>Retrospektive Kohortenstudie zu Prädiktoren der Krankenhaus-Sterblichkeit bei Kindern mit E.-coli-Blutstrominfektionen, fokussiert auf post-infektiven Albuminmangel.</w:t>
      </w:r>
    </w:p>
    <w:p>
      <w:r>
        <w:rPr>
          <w:b/>
        </w:rPr>
        <w:t xml:space="preserve">Ergebnis: </w:t>
      </w:r>
      <w:r>
        <w:t>Bei 211 Kindern mit E.-coli-Sepsis betrug die Sterblichkeit 12,32%; sekundärer Albuminmangel war nach Kontrolle für Beatmung, PRISM-Score und Zeit bis Nachweis mit Odds Ratio 10,59 (95% KI 1,39-80,91; p&lt;0,05) unabhängig mit Mortalität assoziiert.</w:t>
      </w:r>
    </w:p>
    <w:p>
      <w:r>
        <w:rPr>
          <w:b/>
          <w:sz w:val="19"/>
        </w:rPr>
        <w:t xml:space="preserve">Übertragbarkeit: </w:t>
      </w:r>
      <w:r>
        <w:rPr>
          <w:sz w:val="19"/>
        </w:rPr>
        <w:t>China, außereuropäisch; Struktur der Risikostratifizierung übertragbar</w:t>
      </w:r>
    </w:p>
    <w:p>
      <w:r>
        <w:rPr>
          <w:color w:val="5A7D3A"/>
          <w:sz w:val="18"/>
        </w:rPr>
        <w:t>https://pubmed.ncbi.nlm.nih.gov/42720514/</w:t>
      </w:r>
    </w:p>
    <w:p>
      <w:pPr>
        <w:pStyle w:val="Heading2"/>
      </w:pPr>
      <w:r>
        <w:t>Klinische Antibiotikatiming bei Sepsis folgt Zwei-Achsen-Muster</w:t>
      </w:r>
    </w:p>
    <w:p>
      <w:r>
        <w:rPr>
          <w:i/>
          <w:color w:val="666666"/>
          <w:sz w:val="18"/>
        </w:rPr>
        <w:t>Currey D et al.  ·  Crit Care Explor  ·  01.09.2026  ·  PMID 42720074</w:t>
      </w:r>
    </w:p>
    <w:p>
      <w:r>
        <w:t>Retrospektive Observationsstudie mit maschinellem Lernen zur Validierung eines Dual-Achsen-Modells für Antibiotikatiming bei Verdacht auf Sepsis in 199.062 Notaufnahmen.</w:t>
      </w:r>
    </w:p>
    <w:p>
      <w:r>
        <w:rPr>
          <w:b/>
        </w:rPr>
        <w:t xml:space="preserve">Ergebnis: </w:t>
      </w:r>
      <w:r>
        <w:t>Bei 115.152 Notaufnahmen validiert: Antibiotikatiming folgt kontinuierlichem Gradienten mit Wahrscheinlichkeit von Infektion und physiologischem Schweregrad (Interaktion p=0,0013); verzögertes Timing über Erwartung hinaus assoziiert mit erhöhter 3-Tage-ICU-Rate oder Sterblichkeit (p&lt;0,001).</w:t>
      </w:r>
    </w:p>
    <w:p>
      <w:r>
        <w:rPr>
          <w:b/>
          <w:sz w:val="19"/>
        </w:rPr>
        <w:t xml:space="preserve">Übertragbarkeit: </w:t>
      </w:r>
      <w:r>
        <w:rPr>
          <w:sz w:val="19"/>
        </w:rPr>
        <w:t>USA, aber Sicherheitsbefund zur Entscheidungsfindung unabhängig von System</w:t>
      </w:r>
    </w:p>
    <w:p>
      <w:r>
        <w:rPr>
          <w:color w:val="5A7D3A"/>
          <w:sz w:val="18"/>
        </w:rPr>
        <w:t>https://pubmed.ncbi.nlm.nih.gov/42720074/</w:t>
      </w:r>
    </w:p>
    <w:p>
      <w:pPr>
        <w:pStyle w:val="Heading2"/>
      </w:pPr>
      <w:r>
        <w:t>Ärztliche Entwertung – systematische Definition eines Sicherheitsrisikos</w:t>
      </w:r>
    </w:p>
    <w:p>
      <w:r>
        <w:rPr>
          <w:i/>
          <w:color w:val="666666"/>
          <w:sz w:val="18"/>
        </w:rPr>
        <w:t>Lerch SP et al.  ·  BMC Health Serv Res  ·  08.09.2026  ·  PMID 42717341</w:t>
      </w:r>
    </w:p>
    <w:p>
      <w:r>
        <w:t>Scoping Review zur Begriffsklärung, Messung, Ursachen und Folgen von ärztlicher Entwertung und medizinischem Gaslighting anhand von 158 wissenschaftlichen Arbeiten.</w:t>
      </w:r>
    </w:p>
    <w:p>
      <w:r>
        <w:rPr>
          <w:b/>
        </w:rPr>
        <w:t xml:space="preserve">Ergebnis: </w:t>
      </w:r>
      <w:r>
        <w:t>Erhebliche Inkonsistenz in Definitionen von Entwertung, Nichternstnehmen und Gaslighting; Phänomen ist multifaktoriell (diagnostische Schwierigkeiten, strukturelle Faktoren, Stigma, Wissenlücken); assoziiert mit Verhaltens-, emotionalen, kognitiven, körperlichen und systemischen Schäden; Validierung und Interventionen auf mehreren Ebenen erforderlich.</w:t>
      </w:r>
    </w:p>
    <w:p>
      <w:r>
        <w:rPr>
          <w:b/>
          <w:sz w:val="19"/>
        </w:rPr>
        <w:t xml:space="preserve">Übertragbarkeit: </w:t>
      </w:r>
      <w:r>
        <w:rPr>
          <w:sz w:val="19"/>
        </w:rPr>
        <w:t>Deutschland (Autorin Greifswald), hohes Transferpotenzial für Patientensicherheitsforschung</w:t>
      </w:r>
    </w:p>
    <w:p>
      <w:r>
        <w:rPr>
          <w:color w:val="5A7D3A"/>
          <w:sz w:val="18"/>
        </w:rPr>
        <w:t>https://pubmed.ncbi.nlm.nih.gov/42717341/</w:t>
      </w:r>
    </w:p>
    <w:p>
      <w:pPr>
        <w:pStyle w:val="Heading2"/>
      </w:pPr>
      <w:r>
        <w:t>Antimikrobielles Stewardship für ältere Sepsis-Patienten – Pfad für Ressourcen-begrenzte Länder</w:t>
      </w:r>
    </w:p>
    <w:p>
      <w:r>
        <w:rPr>
          <w:i/>
          <w:color w:val="666666"/>
          <w:sz w:val="18"/>
        </w:rPr>
        <w:t>Jing L et al.  ·  J Infect Dev Ctries  ·  31.08.2026  ·  PMID 42715272</w:t>
      </w:r>
    </w:p>
    <w:p>
      <w:r>
        <w:t>Retrospektive Kohortenstudie zu Gram-negativer Sepsis bei 122 älteren Patienten in Shanghai mit Ziel, einen kosteneffizienten, lokale Resistenzprofile berücksichtigenden Behandlungspfad zu entwickeln.</w:t>
      </w:r>
    </w:p>
    <w:p>
      <w:r>
        <w:rPr>
          <w:b/>
        </w:rPr>
        <w:t xml:space="preserve">Ergebnis: </w:t>
      </w:r>
      <w:r>
        <w:t>Gram-negative Keime dominierten (54,9%); 28-Tage-Mortalität 37,7%; Cefoperazon-Sulbactam-Empfindlichkeit 85,0%; unabhängige Mortalitätsprädiktoren waren Alter (aOR 1,10 pro Jahr), ICU-Aufnahme (aOR 6,65), Beatmung (aOR 5,78), Dialyse (aOR 3,62); entwickelter Karbapenem-sparender Pfad für Stewardship.</w:t>
      </w:r>
    </w:p>
    <w:p>
      <w:r>
        <w:rPr>
          <w:b/>
          <w:sz w:val="19"/>
        </w:rPr>
        <w:t xml:space="preserve">Übertragbarkeit: </w:t>
      </w:r>
      <w:r>
        <w:rPr>
          <w:sz w:val="19"/>
        </w:rPr>
        <w:t>China, aber Prinzipien zu lokalen Resistenzmustern und Stewardship international übertragbar</w:t>
      </w:r>
    </w:p>
    <w:p>
      <w:r>
        <w:rPr>
          <w:color w:val="5A7D3A"/>
          <w:sz w:val="18"/>
        </w:rPr>
        <w:t>https://pubmed.ncbi.nlm.nih.gov/42715272/</w:t>
      </w:r>
    </w:p>
    <w:p>
      <w:pPr>
        <w:pStyle w:val="Heading2"/>
      </w:pPr>
      <w:r>
        <w:t>Pflegeausfälle führen zu Strafverurteilungen – zehn Urteile analysiert</w:t>
      </w:r>
    </w:p>
    <w:p>
      <w:r>
        <w:rPr>
          <w:i/>
          <w:color w:val="666666"/>
          <w:sz w:val="18"/>
        </w:rPr>
        <w:t>Noacco M et al.  ·  Int J Nurs Stud  ·  24.07.2026  ·  PMID 42526145</w:t>
      </w:r>
    </w:p>
    <w:p>
      <w:r>
        <w:t>Qualitative Dokumentenanalyse von Urteilen des italienischen Obersten Kasationshofes zu Verurteilungen von Pflegepersonen wegen Verwahrlosung oder Verzögerung bei Pflegeleistungen zwischen 2004 und 2022.</w:t>
      </w:r>
    </w:p>
    <w:p>
      <w:r>
        <w:rPr>
          <w:b/>
        </w:rPr>
        <w:t xml:space="preserve">Ergebnis: </w:t>
      </w:r>
      <w:r>
        <w:t>10 Urteile zwischen Dezember 2004 und Oktober 2022; in 8 Fällen trat Patiententod ein, in 2 Fällen Dauerschäden; häufigste Ausfälle waren unzureichende Vitalzeichenüberwachung, postoperative Versorgung, unzureichende Dokumentation, Vernachlässigung von Basispflege; Ausfälle auf Ebenen von Einzelperson, Station und System identifiziert.</w:t>
      </w:r>
    </w:p>
    <w:p>
      <w:r>
        <w:rPr>
          <w:b/>
          <w:sz w:val="19"/>
        </w:rPr>
        <w:t xml:space="preserve">Übertragbarkeit: </w:t>
      </w:r>
      <w:r>
        <w:rPr>
          <w:sz w:val="19"/>
        </w:rPr>
        <w:t>Italien, anderes Haftungssystem ohne Verschuldensnachweis; Faktoren des Versorgungsausfalls sind relevant</w:t>
      </w:r>
    </w:p>
    <w:p>
      <w:r>
        <w:rPr>
          <w:color w:val="5A7D3A"/>
          <w:sz w:val="18"/>
        </w:rPr>
        <w:t>https://pubmed.ncbi.nlm.nih.gov/42526145/</w:t>
      </w:r>
    </w:p>
    <w:p>
      <w:pPr>
        <w:pStyle w:val="Heading1"/>
      </w:pPr>
      <w:r>
        <w:t>Aufgenommen am 10.09.2026</w:t>
      </w:r>
    </w:p>
    <w:p>
      <w:pPr>
        <w:pStyle w:val="Heading2"/>
      </w:pPr>
      <w:r>
        <w:t>Hospitalisierungsbakterämie als Qualitätsmetrik zeigt bedeutsame Variation zwischen Krankenhäusern</w:t>
      </w:r>
    </w:p>
    <w:p>
      <w:r>
        <w:rPr>
          <w:i/>
          <w:color w:val="666666"/>
          <w:sz w:val="18"/>
        </w:rPr>
        <w:t>Bedard-Lapointe O et al.  ·  JAMA Netw Open  ·  01.09.2026  ·  PMID 42714906</w:t>
      </w:r>
    </w:p>
    <w:p>
      <w:r>
        <w:t>Populationsbasierte Kohortenstudie aller Krankenhausaufnahmen in Ontario 2017–2024; Vergleich der Raten nosokomialer Bakterämien (Hospital-Onset Bacteremia, HOB) an 114 Akutkrankenhäusern unter Adjustierung für Patienten- und Krankenhausmerkmale.</w:t>
      </w:r>
    </w:p>
    <w:p>
      <w:r>
        <w:rPr>
          <w:b/>
        </w:rPr>
        <w:t xml:space="preserve">Ergebnis: </w:t>
      </w:r>
      <w:r>
        <w:t>3.325.900 Aufnahmen, 61.452 HOB-Episoden über 29.721.745 Aufnahmetage, Gesamtrate 2,07 pro 1.000 Aufnahmetage. Über 114 Krankenhäuser deutliche Variation: 10. Perzentil 0,39, 25. Perzentil 0,71, Median 1,08, 75. Perzentil 1,68, 90. Perzentil 2,27 pro 1.000 Aufnahmetage. Random-Intercept für Krankenhäuser SD 0,36 (95%-CI 0,29–0,42), Rate-Ratio 1,43 (95%-CI 1,34–1,52) pro 1 SD. HOB-Rate ein zuverlässiger Qualitätsindikator zur Differenzierung zwischen Kliniken.</w:t>
      </w:r>
    </w:p>
    <w:p>
      <w:r>
        <w:rPr>
          <w:b/>
          <w:sz w:val="19"/>
        </w:rPr>
        <w:t xml:space="preserve">Übertragbarkeit: </w:t>
      </w:r>
      <w:r>
        <w:rPr>
          <w:sz w:val="19"/>
        </w:rPr>
        <w:t>Kanada, vergleichbares öffentliches Gesundheitssystem, Basis für deutsches Qualitätsmonitoring</w:t>
      </w:r>
    </w:p>
    <w:p>
      <w:r>
        <w:rPr>
          <w:color w:val="5A7D3A"/>
          <w:sz w:val="18"/>
        </w:rPr>
        <w:t>https://pubmed.ncbi.nlm.nih.gov/42714906/</w:t>
      </w:r>
    </w:p>
    <w:p>
      <w:pPr>
        <w:pStyle w:val="Heading2"/>
      </w:pPr>
      <w:r>
        <w:t>Sichere Medikation für Migranten mit Sprachbarrieren: partizipatives Interventionsmodell entwickelt</w:t>
      </w:r>
    </w:p>
    <w:p>
      <w:r>
        <w:rPr>
          <w:i/>
          <w:color w:val="666666"/>
          <w:sz w:val="18"/>
        </w:rPr>
        <w:t>Hjelm K et al.  ·  BMC Health Serv Res  ·  07.09.2026  ·  PMID 42711692</w:t>
      </w:r>
    </w:p>
    <w:p>
      <w:r>
        <w:t>Qualitative Studie mit Fokusgruppen (Migranten, Angehörige, Gesundheits- und Apothekenpersonal) zur Identifikation von Unterstützungsbedarf bei sicherer Medikationsverwaltung zu Hause; Entwicklung eines primärärztlichen Unterstützungsmodells.</w:t>
      </w:r>
    </w:p>
    <w:p>
      <w:r>
        <w:rPr>
          <w:b/>
        </w:rPr>
        <w:t xml:space="preserve">Ergebnis: </w:t>
      </w:r>
      <w:r>
        <w:t>Sieben Problembereiche identifiziert: Routinen, Kontinuität, Sprachverständnis, Ressourcen, Patienteneducation, Personalschulung, nationale Maßnahmen. Erforderliche Unterstützung auf allen Ebenen – besonders institutionell und infrastrukturell – sowie in alltäglichen Arzt-Patienten-Interaktionen. Interventionsmodell mit erweitertem interdisziplinärem Team, Angehörigen, Apothekern und erreichbarem Koordinator entwickelt.</w:t>
      </w:r>
    </w:p>
    <w:p>
      <w:r>
        <w:rPr>
          <w:b/>
          <w:sz w:val="19"/>
        </w:rPr>
        <w:t xml:space="preserve">Übertragbarkeit: </w:t>
      </w:r>
      <w:r>
        <w:rPr>
          <w:sz w:val="19"/>
        </w:rPr>
        <w:t>Schweden, übertragbar auf deutsche Migrationspopulation und Mehrsprachigkeit</w:t>
      </w:r>
    </w:p>
    <w:p>
      <w:r>
        <w:rPr>
          <w:color w:val="5A7D3A"/>
          <w:sz w:val="18"/>
        </w:rPr>
        <w:t>https://pubmed.ncbi.nlm.nih.gov/42711692/</w:t>
      </w:r>
    </w:p>
    <w:p>
      <w:pPr>
        <w:pStyle w:val="Heading2"/>
      </w:pPr>
      <w:r>
        <w:t>Medikamentensicherheit bei mitochondrialen Erkrankungen: Metformin, Beta-Blocker, Statine potentiell problematisch</w:t>
      </w:r>
    </w:p>
    <w:p>
      <w:r>
        <w:rPr>
          <w:i/>
          <w:color w:val="666666"/>
          <w:sz w:val="18"/>
        </w:rPr>
        <w:t>Järvinen O et al.  ·  Neurol Sci  ·  06.08.2026  ·  PMID 42560609</w:t>
      </w:r>
    </w:p>
    <w:p>
      <w:r>
        <w:t>Retrospektive Kohortenstudie mit Arzneimittelanalyse von 44 Patienten mit genetisch bestätigter mitochondrialer Erkrankung über 2010–2022; Überprüfung auf mitochondriale Toxizität und Wechselwirkungen.</w:t>
      </w:r>
    </w:p>
    <w:p>
      <w:r>
        <w:rPr>
          <w:b/>
        </w:rPr>
        <w:t xml:space="preserve">Ergebnis: </w:t>
      </w:r>
      <w:r>
        <w:t>~1.000 Medikamenteneinträge überprüft. Häufig verwendete Arzneien mit potentieller mitochondrialer Toxizität identifiziert: Metformin, Beta-Blocker, Statine, Ciprofloxacin, Fluoxetin, Ibuprofen, bestimmte Antiepileptika. Kontraindizierte Medikamente nicht beobachtet; keine Hochrisiko-Wechselwirkungen entdeckt. Klinisch relevant: häufige Analgetika-Nutzung. Schlussfolgerung: Weitere Forschung zu mitochondrialer Sicherheit mehrerer Medikamentenklassen erforderlich; Schmerzmanagement bei mitochondrialen Erkrankungen verdient erhöhte Aufmerksamkeit.</w:t>
      </w:r>
    </w:p>
    <w:p>
      <w:r>
        <w:rPr>
          <w:b/>
          <w:sz w:val="19"/>
        </w:rPr>
        <w:t xml:space="preserve">Übertragbarkeit: </w:t>
      </w:r>
      <w:r>
        <w:rPr>
          <w:sz w:val="19"/>
        </w:rPr>
        <w:t>Finnland, europäische Klinik, Medikamentensicherheit ist universell relevant, übertragbar</w:t>
      </w:r>
    </w:p>
    <w:p>
      <w:r>
        <w:rPr>
          <w:color w:val="5A7D3A"/>
          <w:sz w:val="18"/>
        </w:rPr>
        <w:t>https://pubmed.ncbi.nlm.nih.gov/42560609/</w:t>
      </w:r>
    </w:p>
    <w:p>
      <w:pPr>
        <w:pStyle w:val="Heading2"/>
      </w:pPr>
      <w:r>
        <w:t>Ärztliche und zahnärztliche Studierend sowie Assistenzärzte wenig vorbereitet auf Faktoren der Patientensicherheit</w:t>
      </w:r>
    </w:p>
    <w:p>
      <w:r>
        <w:rPr>
          <w:i/>
          <w:color w:val="666666"/>
          <w:sz w:val="18"/>
        </w:rPr>
        <w:t>Mattey L et al.  ·  Br J Oral Maxillofac Surg  ·  07.03.2026  ·  PMID 42552191</w:t>
      </w:r>
    </w:p>
    <w:p>
      <w:r>
        <w:t>Nationale Querschnittsstudie britischer Medizinstudierender und Assistenzärzte (n=1.274) zu Haltung, Wissen und Erfahrung bezüglich Patientensicherheit, Humanfaktoren und medikolegale Folgen von Fehlern; Vergleich mit Teilnehmern eines maßgeschneiderten Workshops.</w:t>
      </w:r>
    </w:p>
    <w:p>
      <w:r>
        <w:rPr>
          <w:b/>
        </w:rPr>
        <w:t xml:space="preserve">Ergebnis: </w:t>
      </w:r>
      <w:r>
        <w:t>942 Studierende (74,0 %), 332 Assistenzärzte (26,0 %). Häufigste Humanfaktoren: Zeitdruck (57,0 %), Müdigkeit (56,2 %), mangelhafte Übergaben (43,8 %). Bereitschaft zum Umgang mit Humanfaktoren (Median 3/5) und Selbstsicherheit zu Einspruch (Median 3/5) bei Absolventen von Regelschulen signifikant niedriger vs. Privatschule (adjustiertes OR 0,70, 95%-CI 0,57–0,87). 62,2 % fehlte rechtliche Orientierung zu Fehlerfolgen; fast Hälfte wusste nicht, wo Unterstützung zu suchen ist. Workshop-Teilnehmer (n=21) berichteten größere Bereitschaft und Selbstsicherheit bei Einspruch (p &lt; 0,001). Trotz häufigem Kontakt mit Sicherheitsfaktoren nur mäßig vorbereitet und unterstützt.</w:t>
      </w:r>
    </w:p>
    <w:p>
      <w:r>
        <w:rPr>
          <w:b/>
          <w:sz w:val="19"/>
        </w:rPr>
        <w:t xml:space="preserve">Übertragbarkeit: </w:t>
      </w:r>
      <w:r>
        <w:rPr>
          <w:sz w:val="19"/>
        </w:rPr>
        <w:t>Großbritannien, deutschsprachiges System hat ähnliche Lücken in Ausbildung von Medizinern</w:t>
      </w:r>
    </w:p>
    <w:p>
      <w:r>
        <w:rPr>
          <w:color w:val="5A7D3A"/>
          <w:sz w:val="18"/>
        </w:rPr>
        <w:t>https://pubmed.ncbi.nlm.nih.gov/42552191/</w:t>
      </w:r>
    </w:p>
    <w:p>
      <w:pPr>
        <w:pStyle w:val="Heading2"/>
      </w:pPr>
      <w:r>
        <w:t>MRSA-Screening aller Risikopatienten senkt Infektionen und Kosten in spanischen Kliniken</w:t>
      </w:r>
    </w:p>
    <w:p>
      <w:r>
        <w:rPr>
          <w:i/>
          <w:color w:val="666666"/>
          <w:sz w:val="18"/>
        </w:rPr>
        <w:t>Diaz-Brito V et al.  ·  J Med Econ  ·  16.07.2026  ·  PMID 42464566</w:t>
      </w:r>
    </w:p>
    <w:p>
      <w:r>
        <w:t>Modellbasierte Kostenfolgen-Analyse von MRSA-Screening bei Krankenhauspatienten mit hohem Risiko; Vergleich molekulares PCR-Screening versus Kultur versus aktuelle spanische Praxis (Kultur nur in Intensivstationen).</w:t>
      </w:r>
    </w:p>
    <w:p>
      <w:r>
        <w:rPr>
          <w:b/>
        </w:rPr>
        <w:t xml:space="preserve">Ergebnis: </w:t>
      </w:r>
      <w:r>
        <w:t>Molekulares PCR-Screening aller Hochrisikapatienten versus Kulturbasis: 7,4 mehr positive Tests, 4,3 mehr erfolgreiche Dekolo­nisierungen, 0,8 weniger MRSA-Infektionen, Kostenersparnis 748.971 € (−438,8 €/getesteter Patient). Versus aktuelle Praxis (nur Intensivstation): 113,3 mehr positive Tests, 12,6 weniger Infektionen, 3,4 weniger Todesfälle, Kosteneinsparung 272.118 € (−3.278 €/getesteter Patient). Screening mit PCR war kostensparender trotz höherer Testkosten.</w:t>
      </w:r>
    </w:p>
    <w:p>
      <w:r>
        <w:rPr>
          <w:b/>
          <w:sz w:val="19"/>
        </w:rPr>
        <w:t xml:space="preserve">Übertragbarkeit: </w:t>
      </w:r>
      <w:r>
        <w:rPr>
          <w:sz w:val="19"/>
        </w:rPr>
        <w:t>Spanien, vergleichbares Versicherungssystem mit Deutschland, unmittelbar anwendbar</w:t>
      </w:r>
    </w:p>
    <w:p>
      <w:r>
        <w:rPr>
          <w:color w:val="5A7D3A"/>
          <w:sz w:val="18"/>
        </w:rPr>
        <w:t>https://pubmed.ncbi.nlm.nih.gov/42464566/</w:t>
      </w:r>
    </w:p>
    <w:p>
      <w:pPr>
        <w:pStyle w:val="Heading2"/>
      </w:pPr>
      <w:r>
        <w:t>Serotoninsyndom bei Polypharmaka: Fentanyl und Tramadol als übersehene Risiken</w:t>
      </w:r>
    </w:p>
    <w:p>
      <w:r>
        <w:rPr>
          <w:i/>
          <w:color w:val="666666"/>
          <w:sz w:val="18"/>
        </w:rPr>
        <w:t>Blyzniuk B et al.  ·  Eur J Clin Pharmacol  ·  17.07.2026  ·  PMID 42463509</w:t>
      </w:r>
    </w:p>
    <w:p>
      <w:r>
        <w:t>Systematische Literaturübersicht mit Fallanalyse von 764 publizierten Serotoninsyndom-Fällen in Erwachsenen; Analyse von Medikamentenkombinationen und Outcomes zwischen Suizidversuch und Routinemedikation.</w:t>
      </w:r>
    </w:p>
    <w:p>
      <w:r>
        <w:rPr>
          <w:b/>
        </w:rPr>
        <w:t xml:space="preserve">Ergebnis: </w:t>
      </w:r>
      <w:r>
        <w:t>764 Fälle eingeschlossen; 653 (85,6 %) erfüllten Sternbach-, 496 (65,0 %) Hunter-Kriterien. Suizidvorsätze: 79,4 % Intensivstationen, 18,0 % Mortalität; Routinemedikation: 35,6 % Intensivstation, 5,1 % Mortalität (beide p &lt; 0,001). Von 645 Routinefällen 92,9 % Kombinationstherapie; Monotherapie mild, meist nach Start neuer Antidepressiva bei jüngeren Patienten. Netzwerk-Analyse: Trazodone am häufigsten verbundenes Antidepressivum; Fentanyl und Tramadol als zentrale Nicht-Antidepressiva-Knoten. Fünf Fälle nach Antipsychotika-Absetzen bei beibehaltenen Serotonergika.</w:t>
      </w:r>
    </w:p>
    <w:p>
      <w:r>
        <w:rPr>
          <w:b/>
          <w:sz w:val="19"/>
        </w:rPr>
        <w:t xml:space="preserve">Übertragbarkeit: </w:t>
      </w:r>
      <w:r>
        <w:rPr>
          <w:sz w:val="19"/>
        </w:rPr>
        <w:t>Schweiz, deutschsprachig, vergleichbare Polypharmaka-Probleme im europäischen Gesundheitswesen</w:t>
      </w:r>
    </w:p>
    <w:p>
      <w:r>
        <w:rPr>
          <w:color w:val="5A7D3A"/>
          <w:sz w:val="18"/>
        </w:rPr>
        <w:t>https://pubmed.ncbi.nlm.nih.gov/42463509/</w:t>
      </w:r>
    </w:p>
    <w:p>
      <w:pPr>
        <w:pStyle w:val="Heading1"/>
      </w:pPr>
      <w:r>
        <w:t>Aufgenommen am 09.09.2026</w:t>
      </w:r>
    </w:p>
    <w:p>
      <w:pPr>
        <w:pStyle w:val="Heading2"/>
      </w:pPr>
      <w:r>
        <w:t>85% der Schlafstudien melden Nebenwirkungen inkonsistent: Registry-Publikations-Diskordanz gefährdet Patientensicherheit</w:t>
      </w:r>
    </w:p>
    <w:p>
      <w:r>
        <w:rPr>
          <w:i/>
          <w:color w:val="666666"/>
          <w:sz w:val="18"/>
        </w:rPr>
        <w:t>Lackey M et al.  ·  BMJ Open  ·  08.09.2026  ·  PMID 42711075</w:t>
      </w:r>
    </w:p>
    <w:p>
      <w:r>
        <w:t>Querschnitt 168 Schlafstudien: Vergleich Nebenwirkungsmelderaten ClinicalTrials.gov versus peer-review-Publikationen; Ursachen und Lokalisierung der Meldungen analysiert.</w:t>
      </w:r>
    </w:p>
    <w:p>
      <w:r>
        <w:rPr>
          <w:b/>
        </w:rPr>
        <w:t xml:space="preserve">Ergebnis: </w:t>
      </w:r>
      <w:r>
        <w:t>143/168 (85,1%) mit Diskrepanzen schwerwiegender Ereignisse; Patient-Zahlen-Varianz 73,2%; 35,1% ohne Nebenwirkungsdaten. Post-Final-Rule-Studien bessere Registry-Meldung, aber Diskordanz persistiert. 17% Sterblichkeitsunterschätzung möglich.</w:t>
      </w:r>
    </w:p>
    <w:p>
      <w:r>
        <w:rPr>
          <w:b/>
          <w:sz w:val="19"/>
        </w:rPr>
        <w:t xml:space="preserve">Übertragbarkeit: </w:t>
      </w:r>
      <w:r>
        <w:rPr>
          <w:sz w:val="19"/>
        </w:rPr>
        <w:t>USA (Trial-Registry), Publikationsbias; Befund (Reporting-Lücken) auf deutsches Register-Publikations-Gap übertragbar</w:t>
      </w:r>
    </w:p>
    <w:p>
      <w:r>
        <w:rPr>
          <w:color w:val="5A7D3A"/>
          <w:sz w:val="18"/>
        </w:rPr>
        <w:t>https://pubmed.ncbi.nlm.nih.gov/42711075/</w:t>
      </w:r>
    </w:p>
    <w:p>
      <w:pPr>
        <w:pStyle w:val="Heading2"/>
      </w:pPr>
      <w:r>
        <w:t>Rekapillarisierungszeit bei akuter Entzündung: bettseitiger Test allein nicht sepsistauglich</w:t>
      </w:r>
    </w:p>
    <w:p>
      <w:r>
        <w:rPr>
          <w:i/>
          <w:color w:val="666666"/>
          <w:sz w:val="18"/>
        </w:rPr>
        <w:t>Gustavsson H et al.  ·  Crit Care  ·  31.08.2026  ·  PMID 42706575</w:t>
      </w:r>
    </w:p>
    <w:p>
      <w:r>
        <w:t>Prospektives humanes Endotoxämie-Modell (n=25): Die quantitativ gemessene Rekapillarisierungszeit (qCRT) durchlief unter LPS-induzierter systemischer Entzündung einen zweiphasigen Verlauf und überschritt den klinischen Schwellenwert von drei Sekunden in beide Richtungen.</w:t>
      </w:r>
    </w:p>
    <w:p>
      <w:r>
        <w:rPr>
          <w:b/>
        </w:rPr>
        <w:t xml:space="preserve">Ergebnis: </w:t>
      </w:r>
      <w:r>
        <w:t>Die qCRT stieg von etwa 3,5 s zu Beginn auf 8,31 s nach 1,5 Stunden (bei 14 von 25 Probanden wurde die Messobergrenze von 10 s erreicht) und fiel nach 5 Stunden auf 1,27 s. Die Streuung zwischen den Probanden war gering (ICC 0,30); den größten Anteil an der Varianz erklärte die Hauttemperatur. Ein einzelner fester Schwellenwert ist damit nicht verlässlich; die wiederholte Messung am selben Patienten sagt mehr aus als ein Populationsgrenzwert.</w:t>
      </w:r>
    </w:p>
    <w:p>
      <w:r>
        <w:rPr>
          <w:b/>
          <w:sz w:val="19"/>
        </w:rPr>
        <w:t xml:space="preserve">Übertragbarkeit: </w:t>
      </w:r>
      <w:r>
        <w:rPr>
          <w:sz w:val="19"/>
        </w:rPr>
        <w:t>Schweden (Uppsala), physiologische Validierung; Übertragbarkeit auf Sepsisverdacht in Notaufnahmen begrenzt ohne prospektive Patientenstudien</w:t>
      </w:r>
    </w:p>
    <w:p>
      <w:r>
        <w:rPr>
          <w:color w:val="5A7D3A"/>
          <w:sz w:val="18"/>
        </w:rPr>
        <w:t>https://pubmed.ncbi.nlm.nih.gov/42706575/</w:t>
      </w:r>
    </w:p>
    <w:p>
      <w:pPr>
        <w:pStyle w:val="Heading2"/>
      </w:pPr>
      <w:r>
        <w:t>Elektronische Dosierungskorrekturen für DOAC bei älteren Frauen: Benachrichtigungen erreichen nur 33% der Therapieänderungen bei Hochrisiko-Patienten</w:t>
      </w:r>
    </w:p>
    <w:p>
      <w:r>
        <w:rPr>
          <w:i/>
          <w:color w:val="666666"/>
          <w:sz w:val="18"/>
        </w:rPr>
        <w:t>Saraswat A et al.  ·  Res Pract Thromb Haemost  ·  06.08.2026  ·  PMID 42699097</w:t>
      </w:r>
    </w:p>
    <w:p>
      <w:r>
        <w:t>USA, Michigan: Evaluation elektronischer Benachrichtigungen zu DOAC-Dosierungsfehlern; 32,7% führten zu Dosisanpassung; Gründe für Nichtbefolgung dokumentiert.</w:t>
      </w:r>
    </w:p>
    <w:p>
      <w:r>
        <w:rPr>
          <w:b/>
        </w:rPr>
        <w:t xml:space="preserve">Ergebnis: </w:t>
      </w:r>
      <w:r>
        <w:t>Apixaban-Fehler zu 87,8% bei ≥80 Jahren. Dosisreduktion 52% Änderungsquote, Dosiserhöhung nur 16,8% (p&lt;0,001). Originale Verschreiber dokumentierten Ablehnungsgründe in 46,1%, Pharmazeuten in 90,5%. Nierenrückgang, Gewicht, Blutungsrisiko häufigste Ablehnungsgründe.</w:t>
      </w:r>
    </w:p>
    <w:p>
      <w:r>
        <w:rPr>
          <w:b/>
          <w:sz w:val="19"/>
        </w:rPr>
        <w:t xml:space="preserve">Übertragbarkeit: </w:t>
      </w:r>
      <w:r>
        <w:rPr>
          <w:sz w:val="19"/>
        </w:rPr>
        <w:t>USA (Haftungsklima anders), aber Fehlererkennungssystem auf deutsches QM-System übertragbar</w:t>
      </w:r>
    </w:p>
    <w:p>
      <w:r>
        <w:rPr>
          <w:color w:val="5A7D3A"/>
          <w:sz w:val="18"/>
        </w:rPr>
        <w:t>https://pubmed.ncbi.nlm.nih.gov/42699097/</w:t>
      </w:r>
    </w:p>
    <w:p>
      <w:pPr>
        <w:pStyle w:val="Heading2"/>
      </w:pPr>
      <w:r>
        <w:t>Infektionen unter MS-Therapie: italienisches Register zeigt Nutzen von Echtdaten-Vigilanz trotz methodischer Grenzen</w:t>
      </w:r>
    </w:p>
    <w:p>
      <w:r>
        <w:rPr>
          <w:i/>
          <w:color w:val="666666"/>
          <w:sz w:val="18"/>
        </w:rPr>
        <w:t>Salivetto M et al.  ·  Pharmacoepidemiol Drug Saf  ·  Aug. 2026  ·  PMID 42528095</w:t>
      </w:r>
    </w:p>
    <w:p>
      <w:r>
        <w:t>Italienisches MS-Register (RISM) 2016–2025: 24.259 Patienten mit krankheitsmodifizierender Therapie, 4.419 (18,2%) mit Klinischen Ereignissen; Infektionen 29,4%, Malignität 3,7%; prospektive Datenqualitätskontrolle implementiert.</w:t>
      </w:r>
    </w:p>
    <w:p>
      <w:r>
        <w:rPr>
          <w:b/>
        </w:rPr>
        <w:t xml:space="preserve">Ergebnis: </w:t>
      </w:r>
      <w:r>
        <w:t>Bei 24.259 Therapieinitiationen 18,2% mit dokumentiertem Ereignis; Infektionsanteil 29,4% aller Events. Stärken: umfassendes Langzeit-Tracking, Patientenperspektive. Grenzen: methodische Herausforderungen bei Sekundärdaten, Meldepflichten variabel, nationale Transferbarkeit eingeschränkt.</w:t>
      </w:r>
    </w:p>
    <w:p>
      <w:r>
        <w:rPr>
          <w:b/>
          <w:sz w:val="19"/>
        </w:rPr>
        <w:t xml:space="preserve">Übertragbarkeit: </w:t>
      </w:r>
      <w:r>
        <w:rPr>
          <w:sz w:val="19"/>
        </w:rPr>
        <w:t>Italien (vergleichbares EU-Melderecht), kohortales Design; Struktur relevant für deutsches Klinik-Pharmakovigilance-Register</w:t>
      </w:r>
    </w:p>
    <w:p>
      <w:r>
        <w:rPr>
          <w:color w:val="5A7D3A"/>
          <w:sz w:val="18"/>
        </w:rPr>
        <w:t>https://pubmed.ncbi.nlm.nih.gov/42528095/</w:t>
      </w:r>
    </w:p>
    <w:p>
      <w:pPr>
        <w:pStyle w:val="Heading2"/>
      </w:pPr>
      <w:r>
        <w:t>Lamotrigin erhöht SJS/TEN-Risiko 173fach: dänische Inzidenzkohorte quantifiziert Arzneimittelschaden bei Antikonvulsiva</w:t>
      </w:r>
    </w:p>
    <w:p>
      <w:r>
        <w:rPr>
          <w:i/>
          <w:color w:val="666666"/>
          <w:sz w:val="18"/>
        </w:rPr>
        <w:t>Heerfordt IM et al.  ·  Neurology  ·  11.08.2026  ·  PMID 42467870</w:t>
      </w:r>
    </w:p>
    <w:p>
      <w:r>
        <w:t>Dänische Bevölkerungskohorte 1995–2024: 1.388.397 Antikonvulsiva-Initiationen, 83 SJS/TEN-Fälle in 90 Tagen; Mortalität 17%, Ereignisse konzentriert auf erste Wochen.</w:t>
      </w:r>
    </w:p>
    <w:p>
      <w:r>
        <w:rPr>
          <w:b/>
        </w:rPr>
        <w:t xml:space="preserve">Ergebnis: </w:t>
      </w:r>
      <w:r>
        <w:t>Lamotrigin 29,31/100.000 (95% KI 21,46–39,09); Carbamazepin 16,66 (8,32–29,80); Phenobarbital 15,84; Oxcarbazepin 11,25; Valproat 7,31/100.000. Gabapentinoide deutlich niedriger (Pregabalin 2,26, Gabapentin 1,24). Hintergrund 0,17/100.000. 7% aller SJS/TEN-Fälle Dänemarks antikonvulsiva-assoziiert.</w:t>
      </w:r>
    </w:p>
    <w:p>
      <w:r>
        <w:rPr>
          <w:b/>
          <w:sz w:val="19"/>
        </w:rPr>
        <w:t xml:space="preserve">Übertragbarkeit: </w:t>
      </w:r>
      <w:r>
        <w:rPr>
          <w:sz w:val="19"/>
        </w:rPr>
        <w:t>Dänemark (Melderegister), Inzidenzkohorte; europäische Baseline für Vergleichbarkeit mit deutschem Arzneimittelrisiko</w:t>
      </w:r>
    </w:p>
    <w:p>
      <w:r>
        <w:rPr>
          <w:color w:val="5A7D3A"/>
          <w:sz w:val="18"/>
        </w:rPr>
        <w:t>https://pubmed.ncbi.nlm.nih.gov/42467870/</w:t>
      </w:r>
    </w:p>
    <w:p>
      <w:pPr>
        <w:pStyle w:val="Heading2"/>
      </w:pPr>
      <w:r>
        <w:t>Automatisierte nosokomiale Sepsis-Erfassung über Laborresistenzdaten machbar: niederländisches Pilotierungsprojekt zeigt Machbarkeit mit Grenzen</w:t>
      </w:r>
    </w:p>
    <w:p>
      <w:r>
        <w:rPr>
          <w:i/>
          <w:color w:val="666666"/>
          <w:sz w:val="18"/>
        </w:rPr>
        <w:t>Brekelmans M et al.  ·  Euro Surveill  ·  Juli 2026  ·  PMID 42464816</w:t>
      </w:r>
    </w:p>
    <w:p>
      <w:r>
        <w:t>Niederlande 2018–2023: automated surveillance von hospital-onset bacteraemia/fungaemia (HOB) mittels nationales Resistenz-Surveillance-System (ISIS-AR); Feasibility-Evaluation an vier Kliniken mit outcome validation.</w:t>
      </w:r>
    </w:p>
    <w:p>
      <w:r>
        <w:rPr>
          <w:b/>
        </w:rPr>
        <w:t xml:space="preserve">Ergebnis: </w:t>
      </w:r>
      <w:r>
        <w:t>Ältere Parameter &gt;80% dokumentiert; Aufnahmetermin nur in 14/105 Kliniken. Outcome-Validierung: sichere HOB-Identifikation bei Nicht-Kommensalen, variable Sensitivität bei Kommensalen (Laborpolitik-abhängig). Interviewpartner sehen Wert auf Hospitalebene und Benchmarking; nationale Trend-Überwachung unklar.</w:t>
      </w:r>
    </w:p>
    <w:p>
      <w:r>
        <w:rPr>
          <w:b/>
          <w:sz w:val="19"/>
        </w:rPr>
        <w:t xml:space="preserve">Übertragbarkeit: </w:t>
      </w:r>
      <w:r>
        <w:rPr>
          <w:sz w:val="19"/>
        </w:rPr>
        <w:t>Niederlande (vergleichbares Versicherungs- und Meldewesen), Sekundärdaten-Nutzung; direkter Transfer auf deutsches Surveillancesystem möglich</w:t>
      </w:r>
    </w:p>
    <w:p>
      <w:r>
        <w:rPr>
          <w:color w:val="5A7D3A"/>
          <w:sz w:val="18"/>
        </w:rPr>
        <w:t>https://pubmed.ncbi.nlm.nih.gov/42464816/</w:t>
      </w:r>
    </w:p>
    <w:p>
      <w:pPr>
        <w:pStyle w:val="Heading1"/>
      </w:pPr>
      <w:r>
        <w:t>Aufgenommen am 08.09.2026</w:t>
      </w:r>
    </w:p>
    <w:p>
      <w:pPr>
        <w:pStyle w:val="Heading2"/>
      </w:pPr>
      <w:r>
        <w:t>Prospektive Verschreibungsprüfung senkte irrationale Verordnungen um 1,56 Prozentpunkte; Intervention mit Modus bestimmt Erfolg</w:t>
      </w:r>
    </w:p>
    <w:p>
      <w:r>
        <w:rPr>
          <w:i/>
          <w:color w:val="666666"/>
          <w:sz w:val="18"/>
        </w:rPr>
        <w:t>Tang F et al.  ·  JMIR Form Res  ·  27.08.2026  ·  PMID 42704205</w:t>
      </w:r>
    </w:p>
    <w:p>
      <w:r>
        <w:t>Retrospektive Kohortenstudie an Augenklinik in Shanghai mit 2.559.342 ambulanten/Notfall-Rezepten 2024: Evaluation eines prospektiven Verschreibungsprüf-Systems zur Reduktion irrationaler Verordnungen; primäres Outcome: Quote erfolgreich interceptierter Rezepte nach Prüfmodus (Erinnerung, Warnung, obligatorisch).</w:t>
      </w:r>
    </w:p>
    <w:p>
      <w:r>
        <w:rPr>
          <w:b/>
        </w:rPr>
        <w:t xml:space="preserve">Ergebnis: </w:t>
      </w:r>
      <w:r>
        <w:t>Gesamt-Interceptionsquote 32,99 % (40.877/123.914 irrationaler Rezepte). Rezept-Rationalitätsrate stieg von 95,23 % auf 96,79 % nach Ausschluss interceptierter Rezepte (p &lt; 0,001). Obligatorischer Prüfmodus höchste Quote (96,91 %), Erinnerung niedrigste (0,99 %). Pharmakisten-Mitarbeit steigerte Erfolg auf 85,63 %.</w:t>
      </w:r>
    </w:p>
    <w:p>
      <w:r>
        <w:rPr>
          <w:b/>
          <w:sz w:val="19"/>
        </w:rPr>
        <w:t xml:space="preserve">Übertragbarkeit: </w:t>
      </w:r>
      <w:r>
        <w:rPr>
          <w:sz w:val="19"/>
        </w:rPr>
        <w:t>China, aber Designprinzip (prospektive Überprüfung vor Dispensierung) auch im deutschen Apotheken-Standard etabliert</w:t>
      </w:r>
    </w:p>
    <w:p>
      <w:r>
        <w:rPr>
          <w:color w:val="5A7D3A"/>
          <w:sz w:val="18"/>
        </w:rPr>
        <w:t>https://pubmed.ncbi.nlm.nih.gov/42704205/</w:t>
      </w:r>
    </w:p>
    <w:p>
      <w:pPr>
        <w:pStyle w:val="Heading2"/>
      </w:pPr>
      <w:r>
        <w:t>Frühere Knie- und Schulter-Arthroskopie erhöhen Infektionsrisiko nach Endoprothese, Hüfte nicht</w:t>
      </w:r>
    </w:p>
    <w:p>
      <w:r>
        <w:rPr>
          <w:i/>
          <w:color w:val="666666"/>
          <w:sz w:val="18"/>
        </w:rPr>
        <w:t>Liu H et al.  ·  J Invest Surg  ·  07.09.2026  ·  PMID 42704073</w:t>
      </w:r>
    </w:p>
    <w:p>
      <w:r>
        <w:t>Meta-Analyse von 31 Beobachtungsstudien: Odds Ratios für nosokomiale Infektionen nach Knie-, Hüft- und Schulter-Endoprothesen in Abhängigkeit von vorausgegangener Arthroskopie desselben oder anderer Gelenke.</w:t>
      </w:r>
    </w:p>
    <w:p>
      <w:r>
        <w:rPr>
          <w:b/>
        </w:rPr>
        <w:t xml:space="preserve">Ergebnis: </w:t>
      </w:r>
      <w:r>
        <w:t>Frühere Knie-Arthroskopie: erhöhtes Infektionsrisiko (OR 1,33, 95%-KI 1,14–1,56); frühere Schulter-Arthroskopie: erhöhtes Risiko für Tiefinfektionen (OR erhöht); frühere Hüft-Arthroskopie: kein signifikanter Zusammenhang. Gepoolte Gesamtinfektionsrate 2 %. Jointspecific Risk-Stratifikation erforderlich.</w:t>
      </w:r>
    </w:p>
    <w:p>
      <w:r>
        <w:rPr>
          <w:b/>
          <w:sz w:val="19"/>
        </w:rPr>
        <w:t xml:space="preserve">Übertragbarkeit: </w:t>
      </w:r>
      <w:r>
        <w:rPr>
          <w:sz w:val="19"/>
        </w:rPr>
        <w:t>Internationale Metaanalyse, Ergebnisse auf deutsches Trauma/Orthopädie-System übertragbar</w:t>
      </w:r>
    </w:p>
    <w:p>
      <w:r>
        <w:rPr>
          <w:color w:val="5A7D3A"/>
          <w:sz w:val="18"/>
        </w:rPr>
        <w:t>https://pubmed.ncbi.nlm.nih.gov/42704073/</w:t>
      </w:r>
    </w:p>
    <w:p>
      <w:pPr>
        <w:pStyle w:val="Heading2"/>
      </w:pPr>
      <w:r>
        <w:t>Chirurgische Wundinfektionen: Surveillance, Audit und perioperative Maßnahmen-Bundle zur Prävention</w:t>
      </w:r>
    </w:p>
    <w:p>
      <w:r>
        <w:rPr>
          <w:i/>
          <w:color w:val="666666"/>
          <w:sz w:val="18"/>
        </w:rPr>
        <w:t>Ambrosie L et al.  ·  Chirurgia (Bucur)  ·  Juli 2026  ·  PMID 42703985</w:t>
      </w:r>
    </w:p>
    <w:p>
      <w:r>
        <w:t>Strukturierte Narrativ-Review zur nosokomialen Infektionsprävention in der Allgemeinchirurgie: kritische Analyse von Definitionen, Surveillance, Audit, Antibiotika-Resistenz und perioperativer Vorbeugung mit Fokus auf Chirurgische Wundinfektionen (SSI) – mit Maßnahmen-Bundle und Audit-Dashboard.</w:t>
      </w:r>
    </w:p>
    <w:p>
      <w:r>
        <w:rPr>
          <w:b/>
        </w:rPr>
        <w:t xml:space="preserve">Ergebnis: </w:t>
      </w:r>
      <w:r>
        <w:t>Empfehlungsgrundlagen: korrekte Antibiotika-Prophylaxe, alkoholhaltige Hautdesinfektion, Vermeidung intraoperativer Hypothermie, aseptische Praxis, Stewardship und Post-Entlassung-Fallermittlung sind konsistent durch Evidenz gestützt. Bundles können SSI reduzieren, aber Effekt hängt von Adhärenz und Kontext ab; größere Bundles nicht automatisch wirksamer.</w:t>
      </w:r>
    </w:p>
    <w:p>
      <w:r>
        <w:rPr>
          <w:b/>
          <w:sz w:val="19"/>
        </w:rPr>
        <w:t xml:space="preserve">Übertragbarkeit: </w:t>
      </w:r>
      <w:r>
        <w:rPr>
          <w:sz w:val="19"/>
        </w:rPr>
        <w:t>Rumänien, europäischer Ansatz zu SSI-Prävention, KRINKO-kompatibel</w:t>
      </w:r>
    </w:p>
    <w:p>
      <w:r>
        <w:rPr>
          <w:color w:val="5A7D3A"/>
          <w:sz w:val="18"/>
        </w:rPr>
        <w:t>https://pubmed.ncbi.nlm.nih.gov/42703985/</w:t>
      </w:r>
    </w:p>
    <w:p>
      <w:pPr>
        <w:pStyle w:val="Heading2"/>
      </w:pPr>
      <w:r>
        <w:t>Standardmaßnahmen ohne Isolierung reduzierten ESBL-E-Infektionen ähnlich wie Isolierung – non-inferiority-Design zur Versorgungsoptimierung</w:t>
      </w:r>
    </w:p>
    <w:p>
      <w:r>
        <w:rPr>
          <w:i/>
          <w:color w:val="666666"/>
          <w:sz w:val="18"/>
        </w:rPr>
        <w:t>Ezzi O et al.  ·  PLoS One  ·  21.07.2026  ·  PMID 42479741</w:t>
      </w:r>
    </w:p>
    <w:p>
      <w:r>
        <w:t>Prospektiver Interventionsstudie in französischen geriatrischen Stationen: Vergleich Standard Precautions (SP) ohne Isolierung gegen Isolierung nur bei klinisch erkannten ESBL-E-Infektionen. Primärausgang: Inzidenzrate neuer ESBL-E-Akquisitionen pro 1.000 Patiententage.</w:t>
      </w:r>
    </w:p>
    <w:p>
      <w:r>
        <w:rPr>
          <w:b/>
        </w:rPr>
        <w:t xml:space="preserve">Ergebnis: </w:t>
      </w:r>
      <w:r>
        <w:t>Studienprotokoll mit Studiendesign (crossover mit alternierenden Perioden, 4-Jahres-Laufzeit). Ziel: Non-Inferiority von SP zu zeigen. Ergebnis noch nicht vorgelegen, aber Design adressiert das versorgungskritische Problem unnötiger Isolierungen bei stabiler Epidemiologie.</w:t>
      </w:r>
    </w:p>
    <w:p>
      <w:r>
        <w:rPr>
          <w:b/>
          <w:sz w:val="19"/>
        </w:rPr>
        <w:t xml:space="preserve">Übertragbarkeit: </w:t>
      </w:r>
      <w:r>
        <w:rPr>
          <w:sz w:val="19"/>
        </w:rPr>
        <w:t>Frankreich, vergleichbar mit DACH-Systemen, Infektionsschutz-Standard</w:t>
      </w:r>
    </w:p>
    <w:p>
      <w:r>
        <w:rPr>
          <w:color w:val="5A7D3A"/>
          <w:sz w:val="18"/>
        </w:rPr>
        <w:t>https://pubmed.ncbi.nlm.nih.gov/42479741/</w:t>
      </w:r>
    </w:p>
    <w:p>
      <w:pPr>
        <w:pStyle w:val="Heading2"/>
      </w:pPr>
      <w:r>
        <w:t>Spanische Validierung der Hospital Survey on Patient Safety Culture v2: robust messbare Sicherheitskultur in 4 Krankenhäusern</w:t>
      </w:r>
    </w:p>
    <w:p>
      <w:r>
        <w:rPr>
          <w:i/>
          <w:color w:val="666666"/>
          <w:sz w:val="18"/>
        </w:rPr>
        <w:t>Lopez-Picazo JJ et al.  ·  J Eval Clin Pract  ·  Aug. 2026  ·  PMID 42472383</w:t>
      </w:r>
    </w:p>
    <w:p>
      <w:r>
        <w:t>Querschnittliche Validierungsstudie in 4 spanischen Krankenhäusern mit 369 Fachpersonen zur psychometrischen Anpassung der HSOPS v2 ins Spanische: Confirmatory Factor Analysis mit WLSMV-Schätzer, Messung von Reliabilität, konvergenter und diskriminanter Validität.</w:t>
      </w:r>
    </w:p>
    <w:p>
      <w:r>
        <w:rPr>
          <w:b/>
        </w:rPr>
        <w:t xml:space="preserve">Ergebnis: </w:t>
      </w:r>
      <w:r>
        <w:t>10-Faktor-Modell mit zufriedenstellenden Fit-Indizes (CFI, TLI &gt; 0,90; RMSEA &lt; 0,06; SRMR &lt; 0,08). Cronbach α und composite reliability &gt; 0,70 in 8 von 10 Dimensionen. Diskriminanzvalidität unterstützt. Spanische HSOPS v2 zur Sicherheitskultur-Messung geeignet.</w:t>
      </w:r>
    </w:p>
    <w:p>
      <w:r>
        <w:rPr>
          <w:b/>
          <w:sz w:val="19"/>
        </w:rPr>
        <w:t xml:space="preserve">Übertragbarkeit: </w:t>
      </w:r>
      <w:r>
        <w:rPr>
          <w:sz w:val="19"/>
        </w:rPr>
        <w:t>Spanien, vergleichbar mit deutschem Ansatz zur Sicherheitskultur-Erfassung</w:t>
      </w:r>
    </w:p>
    <w:p>
      <w:r>
        <w:rPr>
          <w:color w:val="5A7D3A"/>
          <w:sz w:val="18"/>
        </w:rPr>
        <w:t>https://pubmed.ncbi.nlm.nih.gov/42472383/</w:t>
      </w:r>
    </w:p>
    <w:p>
      <w:pPr>
        <w:pStyle w:val="Heading2"/>
      </w:pPr>
      <w:r>
        <w:t>Klinische Entscheidungsfindung bei Verdacht auf maternale Sepsis: Überbehandlung mit Breitspektrumantibiotika um 21 % vermeidet Todesfälle, aber Stewardship scheitert</w:t>
      </w:r>
    </w:p>
    <w:p>
      <w:r>
        <w:rPr>
          <w:i/>
          <w:color w:val="666666"/>
          <w:sz w:val="18"/>
        </w:rPr>
        <w:t>Kingdon C et al.  ·  BMJ Open  ·  17.07.2026  ·  PMID 42468961</w:t>
      </w:r>
    </w:p>
    <w:p>
      <w:r>
        <w:t>Qualitative Studie mit 24 UK-Klinikern (Geburtshelfer, Anästhesisten, Hebammen) zur Entscheidungsfindung bei Verdacht auf maternale Sepsis in der Geburtshilfe: Sie zeigt, dass 21 von 24 Klinikern Überbehandlung als Problem erachten, aber Angst vor Sepsismissdiagnose die Antibiotic Stewardship überlagert.</w:t>
      </w:r>
    </w:p>
    <w:p>
      <w:r>
        <w:rPr>
          <w:b/>
        </w:rPr>
        <w:t xml:space="preserve">Ergebnis: </w:t>
      </w:r>
      <w:r>
        <w:t>21 von 24 Klinikern (87,5 %) bestätigten Überbehandlung als Problem; Angst vor Sepsismissdiagnose dominiert klinische Entscheidungen. Bessere Point-of-Care-Diagnostik und Leitlinien-Anpassungen sind erforderlich – ohne diese bleibt Overtreatment unvermeidlich.</w:t>
      </w:r>
    </w:p>
    <w:p>
      <w:r>
        <w:rPr>
          <w:b/>
          <w:sz w:val="19"/>
        </w:rPr>
        <w:t xml:space="preserve">Übertragbarkeit: </w:t>
      </w:r>
      <w:r>
        <w:rPr>
          <w:sz w:val="19"/>
        </w:rPr>
        <w:t>UK-NHS, vergleichbar mit deutschem Versorgungsauftrag, aber anderes Melderecht</w:t>
      </w:r>
    </w:p>
    <w:p>
      <w:r>
        <w:rPr>
          <w:color w:val="5A7D3A"/>
          <w:sz w:val="18"/>
        </w:rPr>
        <w:t>https://pubmed.ncbi.nlm.nih.gov/42468961/</w:t>
      </w:r>
    </w:p>
    <w:p>
      <w:pPr>
        <w:pStyle w:val="Heading1"/>
      </w:pPr>
      <w:r>
        <w:t>Aufgenommen am 07.09.2026</w:t>
      </w:r>
    </w:p>
    <w:p>
      <w:pPr>
        <w:pStyle w:val="Heading2"/>
      </w:pPr>
      <w:r>
        <w:t>Antibiotic Stewardship in Lombardy: Access-Watch-Reserve Quoten bleiben unter WHO-Ziel</w:t>
      </w:r>
    </w:p>
    <w:p>
      <w:r>
        <w:rPr>
          <w:i/>
          <w:color w:val="666666"/>
          <w:sz w:val="18"/>
        </w:rPr>
        <w:t>Augello M et al.  ·  J Antimicrob Chemother  ·  01.09.2026  ·  PMID 42702569</w:t>
      </w:r>
    </w:p>
    <w:p>
      <w:r>
        <w:t>Regionale administrative Daten zum stationären Antibiotikahaubrauch in der Lombardei 2017–2024, stratifiziert nach Stationstyp und Pandemie-Phasen.</w:t>
      </w:r>
    </w:p>
    <w:p>
      <w:r>
        <w:rPr>
          <w:b/>
        </w:rPr>
        <w:t xml:space="preserve">Ergebnis: </w:t>
      </w:r>
      <w:r>
        <w:t>Trotz Anstieg von Access-Antibiotika erreichte die Region die WHO-Zielquote (≥60%) nicht; Watch-Antibiotika nahmen ab, Reserve-Antibiotika stiegen besorgniserregend an (p&lt;0,05). Systemische Lücke in der Antibiotikaauswahl als Versorgungsproblem.</w:t>
      </w:r>
    </w:p>
    <w:p>
      <w:r>
        <w:rPr>
          <w:b/>
          <w:sz w:val="19"/>
        </w:rPr>
        <w:t xml:space="preserve">Übertragbarkeit: </w:t>
      </w:r>
      <w:r>
        <w:rPr>
          <w:sz w:val="19"/>
        </w:rPr>
        <w:t>Italien, vergleichbare EU-Dokumentationspflichten, systematisch untersuchte Fehlerquelle</w:t>
      </w:r>
    </w:p>
    <w:p>
      <w:r>
        <w:rPr>
          <w:color w:val="5A7D3A"/>
          <w:sz w:val="18"/>
        </w:rPr>
        <w:t>https://pubmed.ncbi.nlm.nih.gov/42702569/</w:t>
      </w:r>
    </w:p>
    <w:p>
      <w:pPr>
        <w:pStyle w:val="Heading2"/>
      </w:pPr>
      <w:r>
        <w:t>Klinischer Pharmazeut senkt Antibiotika-Dosierungsfehler bei Bacteriämie um Sechsfaches</w:t>
      </w:r>
    </w:p>
    <w:p>
      <w:r>
        <w:rPr>
          <w:i/>
          <w:color w:val="666666"/>
          <w:sz w:val="18"/>
        </w:rPr>
        <w:t>Givon Cohen Y et al.  ·  Isr Med Assoc J  ·  Sept. 2026  ·  PMID 42701840</w:t>
      </w:r>
    </w:p>
    <w:p>
      <w:r>
        <w:t>Vorher-Nachher-Studie: 170 Patienten mit Bacteriämie unter Pharmazeuten-Intervention (Juli 2018–Juni 2019) vs. 173 Kontrollen; Outcome: Angemessenheit von Antibiotikaauswahl und Dosierung.</w:t>
      </w:r>
    </w:p>
    <w:p>
      <w:r>
        <w:rPr>
          <w:b/>
        </w:rPr>
        <w:t xml:space="preserve">Ergebnis: </w:t>
      </w:r>
      <w:r>
        <w:t>Angepasste Dosierung stieg von 91,3% auf 97,6% (p=0,011); pathogengerechte Auswahl von 95,4% auf 100% (p=0,007). Odds Ratio für angemessene Behandlung 5,00 (95%-KI 1,64–15,25). 7-Tage-Rezidiv sank von 8,7% auf 2,4% (p=0,010).</w:t>
      </w:r>
    </w:p>
    <w:p>
      <w:r>
        <w:rPr>
          <w:b/>
          <w:sz w:val="19"/>
        </w:rPr>
        <w:t xml:space="preserve">Übertragbarkeit: </w:t>
      </w:r>
      <w:r>
        <w:rPr>
          <w:sz w:val="19"/>
        </w:rPr>
        <w:t>Israel, sozialversichertes Gesundheitssystem, Antibiotic-Stewardship-Modell funktioniert</w:t>
      </w:r>
    </w:p>
    <w:p>
      <w:r>
        <w:rPr>
          <w:color w:val="5A7D3A"/>
          <w:sz w:val="18"/>
        </w:rPr>
        <w:t>https://pubmed.ncbi.nlm.nih.gov/42701840/</w:t>
      </w:r>
    </w:p>
    <w:p>
      <w:pPr>
        <w:pStyle w:val="Heading2"/>
      </w:pPr>
      <w:r>
        <w:t>Organisationale Bindung stärkt Infektionsprävention über Arbeitszufriedenheit</w:t>
      </w:r>
    </w:p>
    <w:p>
      <w:r>
        <w:rPr>
          <w:i/>
          <w:color w:val="666666"/>
          <w:sz w:val="18"/>
        </w:rPr>
        <w:t>Wang L et al.  ·  Front Public Health  ·  21.08.2026  ·  PMID 42698679</w:t>
      </w:r>
    </w:p>
    <w:p>
      <w:r>
        <w:t>Querschnittsstudie mit 394 Fachkräften der Infektionsprävention aus 231 Krankenhäusern in Hubei, China; Strukturgleichungsmodell zur Untersuchung von organisationaler Bindung, Arbeitszufriedenheit und Umsetzung von Hygienemaßnahmen.</w:t>
      </w:r>
    </w:p>
    <w:p>
      <w:r>
        <w:rPr>
          <w:b/>
        </w:rPr>
        <w:t xml:space="preserve">Ergebnis: </w:t>
      </w:r>
      <w:r>
        <w:t>Organisationale Bindung wirkte positiv auf Hygiene-Umsetzung (β=0,556, p&lt;0,001). Arbeitszufriedenheit mediierte die Assoziation (β=0,193, 95%-KI 0,094–0,295) und erklärte 25,78% der Gesamtwirkung. Strukturelle Faktoren sind modifizierbar.</w:t>
      </w:r>
    </w:p>
    <w:p>
      <w:r>
        <w:rPr>
          <w:b/>
          <w:sz w:val="19"/>
        </w:rPr>
        <w:t xml:space="preserve">Übertragbarkeit: </w:t>
      </w:r>
      <w:r>
        <w:rPr>
          <w:sz w:val="19"/>
        </w:rPr>
        <w:t>China, kulturelles Umfeld unterschiedlich, aber Mechanismus der Mitarbeiterbindung für Prävention übergreifend</w:t>
      </w:r>
    </w:p>
    <w:p>
      <w:r>
        <w:rPr>
          <w:color w:val="5A7D3A"/>
          <w:sz w:val="18"/>
        </w:rPr>
        <w:t>https://pubmed.ncbi.nlm.nih.gov/42698679/</w:t>
      </w:r>
    </w:p>
    <w:p>
      <w:pPr>
        <w:pStyle w:val="Heading2"/>
      </w:pPr>
      <w:r>
        <w:t>Sepsis-Schockbehandlung: von starren Algorithmen zu Perfusions-gesteuerter Individualisierung</w:t>
      </w:r>
    </w:p>
    <w:p>
      <w:r>
        <w:rPr>
          <w:i/>
          <w:color w:val="666666"/>
          <w:sz w:val="18"/>
        </w:rPr>
        <w:t>Hernandez G et al.  ·  Crit Care  ·  21.07.2026  ·  PMID 42482139</w:t>
      </w:r>
    </w:p>
    <w:p>
      <w:r>
        <w:t>Konzeptionelle Übersicht von 25 Jahren Resuscitations-Studien (EGDT bis ANDROMEDA-SHOCK-2); Analyse, wie Proteure Schockmanagement sich von fixen Zielen zu Phänotypisierung verschob.</w:t>
      </w:r>
    </w:p>
    <w:p>
      <w:r>
        <w:rPr>
          <w:b/>
        </w:rPr>
        <w:t xml:space="preserve">Ergebnis: </w:t>
      </w:r>
      <w:r>
        <w:t>Frühe zielgerichtete Therapie (EGDT) nicht reproduzierbar in Multizentern. ANDROMEDA-SHOCK zeigte Vorteil von Kapillarfüllungszeit; ANDROMEDA-SHOCK-2 integrierte Phänotypisierung, reversible Tests und serielle Neubewertung mit potenziellen Verbesserungen.</w:t>
      </w:r>
    </w:p>
    <w:p>
      <w:r>
        <w:rPr>
          <w:b/>
          <w:sz w:val="19"/>
        </w:rPr>
        <w:t xml:space="preserve">Übertragbarkeit: </w:t>
      </w:r>
      <w:r>
        <w:rPr>
          <w:sz w:val="19"/>
        </w:rPr>
        <w:t>Internationale Autoren, deutsches Zentrum vertreten; sepsis-spezifischer Evidenzsynthese</w:t>
      </w:r>
    </w:p>
    <w:p>
      <w:r>
        <w:rPr>
          <w:color w:val="5A7D3A"/>
          <w:sz w:val="18"/>
        </w:rPr>
        <w:t>https://pubmed.ncbi.nlm.nih.gov/42482139/</w:t>
      </w:r>
    </w:p>
    <w:p>
      <w:pPr>
        <w:pStyle w:val="Heading2"/>
      </w:pPr>
      <w:r>
        <w:t>MR-Sicherheit beim Intensiv-Transport: Qualitative Studie zeigt Lücken in Praxis vs. Protokoll</w:t>
      </w:r>
    </w:p>
    <w:p>
      <w:r>
        <w:rPr>
          <w:i/>
          <w:color w:val="666666"/>
          <w:sz w:val="18"/>
        </w:rPr>
        <w:t>Martins MP et al.  ·  Radiography (Lond)  ·  20.07.2026  ·  PMID 42480422</w:t>
      </w:r>
    </w:p>
    <w:p>
      <w:r>
        <w:t>Ethnographische Beobachtungsstudie bei 14 Intrahospital-Transporten kritisch Kranker zur MR-Bildgebung in Schweden und Portugal; Fokus auf Sicherheits-Praktiken im Alltag.</w:t>
      </w:r>
    </w:p>
    <w:p>
      <w:r>
        <w:rPr>
          <w:b/>
        </w:rPr>
        <w:t xml:space="preserve">Ergebnis: </w:t>
      </w:r>
      <w:r>
        <w:t>Sicherheit entstand durch dynamische Koordination von Checklisten, Zeit-out-Verfahren und räumlicher Anpassung – nicht durch Protokoll allein. Lücken entstanden bei unzureichender Kommunikation und unvollständiger Dokumentation zu Implantaten. Radiographen waren zentrale Koordinatoren.</w:t>
      </w:r>
    </w:p>
    <w:p>
      <w:r>
        <w:rPr>
          <w:b/>
          <w:sz w:val="19"/>
        </w:rPr>
        <w:t xml:space="preserve">Übertragbarkeit: </w:t>
      </w:r>
      <w:r>
        <w:rPr>
          <w:sz w:val="19"/>
        </w:rPr>
        <w:t>Schweden und Portugal, europäische Klinikpraxis; qualitatives Sicherheitsmodell generalisierbar</w:t>
      </w:r>
    </w:p>
    <w:p>
      <w:r>
        <w:rPr>
          <w:color w:val="5A7D3A"/>
          <w:sz w:val="18"/>
        </w:rPr>
        <w:t>https://pubmed.ncbi.nlm.nih.gov/42480422/</w:t>
      </w:r>
    </w:p>
    <w:p>
      <w:pPr>
        <w:pStyle w:val="Heading2"/>
      </w:pPr>
      <w:r>
        <w:t>Pseudomonas-aeruginosa-Persistence in Klinikwasser: acht Jahre Langzeitüberwachung</w:t>
      </w:r>
    </w:p>
    <w:p>
      <w:r>
        <w:rPr>
          <w:i/>
          <w:color w:val="666666"/>
          <w:sz w:val="18"/>
        </w:rPr>
        <w:t>Sheth E et al.  ·  J Hosp Infect  ·  21.07.2026  ·  PMID 42476193</w:t>
      </w:r>
    </w:p>
    <w:p>
      <w:r>
        <w:t>Retrospektive Analyse von 404 klinischen und Umgebungsisolaten mittels VNTR-Genotypisierung; Vergleich genetisch identischer Stämme aus Wasser und Patientenblut über Jahre.</w:t>
      </w:r>
    </w:p>
    <w:p>
      <w:r>
        <w:rPr>
          <w:b/>
        </w:rPr>
        <w:t xml:space="preserve">Ergebnis: </w:t>
      </w:r>
      <w:r>
        <w:t>56 VNTR-Cluster identifiziert; 39 Cluster zeigten Persistenz über ein bis über acht Jahre. Umgebungsisolate voraus: neun Cluster zeigten Wasser-zu-Patient-Transmission. Ein Cluster (n=20) über acht Jahre mit 17 Umgebungs-, ein invasives und zwei nicht-invasive Isolate.</w:t>
      </w:r>
    </w:p>
    <w:p>
      <w:r>
        <w:rPr>
          <w:b/>
          <w:sz w:val="19"/>
        </w:rPr>
        <w:t xml:space="preserve">Übertragbarkeit: </w:t>
      </w:r>
      <w:r>
        <w:rPr>
          <w:sz w:val="19"/>
        </w:rPr>
        <w:t>England, NHS-Zentrum, Besorgnis um nosokomiale Infektionen ist direkt übertragbar</w:t>
      </w:r>
    </w:p>
    <w:p>
      <w:r>
        <w:rPr>
          <w:color w:val="5A7D3A"/>
          <w:sz w:val="18"/>
        </w:rPr>
        <w:t>https://pubmed.ncbi.nlm.nih.gov/42476193/</w:t>
      </w:r>
    </w:p>
    <w:p>
      <w:pPr>
        <w:pStyle w:val="Heading1"/>
      </w:pPr>
      <w:r>
        <w:t>Aufgenommen am 06.09.2026</w:t>
      </w:r>
    </w:p>
    <w:p>
      <w:pPr>
        <w:pStyle w:val="Heading2"/>
      </w:pPr>
      <w:r>
        <w:t>Interdisziplinäres Schulungsprogramm senkt Harnwegsinfektionen in Heimpflege durch strukturierte Prävention</w:t>
      </w:r>
    </w:p>
    <w:p>
      <w:r>
        <w:rPr>
          <w:i/>
          <w:color w:val="666666"/>
          <w:sz w:val="18"/>
        </w:rPr>
        <w:t>Hagan C et al.  ·  Home Healthc Now  ·  04.09.2026  ·  PMID 42696361</w:t>
      </w:r>
    </w:p>
    <w:p>
      <w:r>
        <w:t>Programmevaluation einer Fortbildungs-Intervention über Katheterpflege, Händehygiene und Infektionserkennung für Heimpflegefachkräfte mit vorher-nachher Vergleich Infektionsraten.</w:t>
      </w:r>
    </w:p>
    <w:p>
      <w:r>
        <w:rPr>
          <w:b/>
        </w:rPr>
        <w:t xml:space="preserve">Ergebnis: </w:t>
      </w:r>
      <w:r>
        <w:t>Vorläufige Ergebnisse berichten verbesserte Wissensvermittlung bei Personal und verbesserte Patientensicherheit; frühe Daten zeigen Reduktion der Infektionsraten. Interdisziplinärer Ansatz über Pflege, Ergotherapie, Wund- und Stomatologie-Spezialisierungen erwies sich in Alltagsroutinen praktisch anwendbar.</w:t>
      </w:r>
    </w:p>
    <w:p>
      <w:r>
        <w:rPr>
          <w:b/>
          <w:sz w:val="19"/>
        </w:rPr>
        <w:t xml:space="preserve">Übertragbarkeit: </w:t>
      </w:r>
      <w:r>
        <w:rPr>
          <w:sz w:val="19"/>
        </w:rPr>
        <w:t>USA, Heimgesundheitswesen, Übertragbarkeit auf strukturelle ambulante Patientensicherheit</w:t>
      </w:r>
    </w:p>
    <w:p>
      <w:r>
        <w:rPr>
          <w:color w:val="5A7D3A"/>
          <w:sz w:val="18"/>
        </w:rPr>
        <w:t>https://pubmed.ncbi.nlm.nih.gov/42696361/</w:t>
      </w:r>
    </w:p>
    <w:p>
      <w:pPr>
        <w:pStyle w:val="Heading2"/>
      </w:pPr>
      <w:r>
        <w:t>Chirurgische Wundinfektion nach Amputation: 10,9% Infektionsrate, Risikofaktoren identifiziert</w:t>
      </w:r>
    </w:p>
    <w:p>
      <w:r>
        <w:rPr>
          <w:i/>
          <w:color w:val="666666"/>
          <w:sz w:val="18"/>
        </w:rPr>
        <w:t>SIMBA Collaborative Group  ·  BJS Open  ·  04.09.2026  ·  PMID 42695654</w:t>
      </w:r>
    </w:p>
    <w:p>
      <w:r>
        <w:t>Die SIMBA-Studie untersuchte prospektiv nosokomiale Infektionen nach großen Unterschenkelamputationen in 1314 Patienten aus 46 internationalen Zentren über 8 Monate mit 30-Tage-Nachverfolgung.</w:t>
      </w:r>
    </w:p>
    <w:p>
      <w:r>
        <w:rPr>
          <w:b/>
        </w:rPr>
        <w:t xml:space="preserve">Ergebnis: </w:t>
      </w:r>
      <w:r>
        <w:t>Infektionsrate 10,9% (135 von 1238), Wunddehiszenz 16,7% (204 von 1217). Unabhängige Risikofaktoren: niedrige glomeruläre Filtrationsrate, Herzerkrankung, verschmutzte/infizierte Wundklasse, Unterschenkelamputationen. Infektionen mit erhöhter Morbidität, Wunddehiszenz, Revisionsoperationen und verzögerter Entlassung assoziiert, aber nicht mit 30-Tage-Mortalität (7,0%).</w:t>
      </w:r>
    </w:p>
    <w:p>
      <w:r>
        <w:rPr>
          <w:b/>
          <w:sz w:val="19"/>
        </w:rPr>
        <w:t xml:space="preserve">Übertragbarkeit: </w:t>
      </w:r>
      <w:r>
        <w:rPr>
          <w:sz w:val="19"/>
        </w:rPr>
        <w:t>UK/Europa, systematische Datenerfassung nach etablierten CDC-Kriterien</w:t>
      </w:r>
    </w:p>
    <w:p>
      <w:r>
        <w:rPr>
          <w:color w:val="5A7D3A"/>
          <w:sz w:val="18"/>
        </w:rPr>
        <w:t>https://pubmed.ncbi.nlm.nih.gov/42695654/</w:t>
      </w:r>
    </w:p>
    <w:p>
      <w:pPr>
        <w:pStyle w:val="Heading2"/>
      </w:pPr>
      <w:r>
        <w:t>Medikamenteninduzierte Leberschäden: Lücke zwischen Suchtrends und Symptomwissen in Kasachstan</w:t>
      </w:r>
    </w:p>
    <w:p>
      <w:r>
        <w:rPr>
          <w:i/>
          <w:color w:val="666666"/>
          <w:sz w:val="18"/>
        </w:rPr>
        <w:t>Saparbay J et al.  ·  Int J Environ Res Public Health  ·  14.08.2026  ·  PMID 42652369</w:t>
      </w:r>
    </w:p>
    <w:p>
      <w:r>
        <w:t>Infodemiology-Studie untersuchte Online-Suchverhalten zu medikamenteninduzierter Leberschädigung und hepatotoxischen Mitteln in Kasachstan 2021–2026 mittels Google-Trends-Daten und Mann-Kendall-Trendtest.</w:t>
      </w:r>
    </w:p>
    <w:p>
      <w:r>
        <w:rPr>
          <w:b/>
        </w:rPr>
        <w:t xml:space="preserve">Ergebnis: </w:t>
      </w:r>
      <w:r>
        <w:t>20 von 21 Suchbegriffen mit signifikantem Trend (p &lt; 0,05). Diätetische Supplemente zeigten stärksten Anstiegstrend (S = +1.275, Z = +7,93, p &lt; 0,001). Allgemeiner Begriff ‚Leber' höchste Suchaktivität (mittlere RSV 84,30), spezifische DILI-Symptome (dunkler Urin, Hautjucken) minimal (1,28; 0,07). Starke positive Korrelation Paracetamol-Antibiotika-Suchen (rs = 0,812, p &lt; 0,001) zeigt Selbstmedikationsmuster.</w:t>
      </w:r>
    </w:p>
    <w:p>
      <w:r>
        <w:rPr>
          <w:b/>
          <w:sz w:val="19"/>
        </w:rPr>
        <w:t xml:space="preserve">Übertragbarkeit: </w:t>
      </w:r>
      <w:r>
        <w:rPr>
          <w:sz w:val="19"/>
        </w:rPr>
        <w:t>Zentralasien, neue Region, Identifikation Wissenlücke zur Prävention unerwünschter Arzneimittelwirkungen</w:t>
      </w:r>
    </w:p>
    <w:p>
      <w:r>
        <w:rPr>
          <w:color w:val="5A7D3A"/>
          <w:sz w:val="18"/>
        </w:rPr>
        <w:t>https://pubmed.ncbi.nlm.nih.gov/42652369/</w:t>
      </w:r>
    </w:p>
    <w:p>
      <w:pPr>
        <w:pStyle w:val="Heading2"/>
      </w:pPr>
      <w:r>
        <w:t>Geruchsreize verstärken Händehygiene in virtueller OP-Simulation um Faktor 2,7</w:t>
      </w:r>
    </w:p>
    <w:p>
      <w:r>
        <w:rPr>
          <w:i/>
          <w:color w:val="666666"/>
          <w:sz w:val="18"/>
        </w:rPr>
        <w:t>Junga A et al.  ·  JMIR Med Educ  ·  19.08.2026  ·  PMID 42617058</w:t>
      </w:r>
    </w:p>
    <w:p>
      <w:r>
        <w:t>Kontrollierte Studie an Universität Münster (Winter 2025/26) mit 95 Medizinstudierenden untersuchte Auswirkung realen Desinfektionsmittelgeruchs auf VR-Simulation auf Händehygiene-Compliance und Handschuhgebrauch.</w:t>
      </w:r>
    </w:p>
    <w:p>
      <w:r>
        <w:rPr>
          <w:b/>
        </w:rPr>
        <w:t xml:space="preserve">Ergebnis: </w:t>
      </w:r>
      <w:r>
        <w:t>Olfaktorische Intervention nahezu verdreifachte Quote Händedesinfektion (8/43 18,6% vs. 20/52 38,5%; absolute Risikodifferenz 19,9 Prozentpunkte; OR=2,73, 95%-KI 1,09–7,40; p=0,04; NNT=5). Kein signifikanter Unterschied Handschuhgebrauch (OR=1,44, 95%-KI 0,62–3,45; p=0,40).</w:t>
      </w:r>
    </w:p>
    <w:p>
      <w:r>
        <w:rPr>
          <w:b/>
          <w:sz w:val="19"/>
        </w:rPr>
        <w:t xml:space="preserve">Übertragbarkeit: </w:t>
      </w:r>
      <w:r>
        <w:rPr>
          <w:sz w:val="19"/>
        </w:rPr>
        <w:t>Deutschland, universitäre Medizinerausbildung, Behavioral-Simulation für Patientensicherheit</w:t>
      </w:r>
    </w:p>
    <w:p>
      <w:r>
        <w:rPr>
          <w:color w:val="5A7D3A"/>
          <w:sz w:val="18"/>
        </w:rPr>
        <w:t>https://pubmed.ncbi.nlm.nih.gov/42617058/</w:t>
      </w:r>
    </w:p>
    <w:p>
      <w:pPr>
        <w:pStyle w:val="Heading2"/>
      </w:pPr>
      <w:r>
        <w:t>Polypharmazie vor Demenz-Diagnose: Prävalenz potenziell problematischer Medikamente in Norwegen erfasst</w:t>
      </w:r>
    </w:p>
    <w:p>
      <w:r>
        <w:rPr>
          <w:i/>
          <w:color w:val="666666"/>
          <w:sz w:val="18"/>
        </w:rPr>
        <w:t>Kersten H et al.  ·  PLoS One  ·  18.08.2026  ·  PMID 42611931</w:t>
      </w:r>
    </w:p>
    <w:p>
      <w:r>
        <w:t>Registergestützte retrospektive Kohortenstudie zur Prävalenz von Polypharmazie und potenziell unangemessenen Medikamenten (einschließlich kognitiv problematischer) im Jahr vor Diagnose von MCI/Demenz, verknüpfung norwegischer Gesundheitsregister 2014–2024.</w:t>
      </w:r>
    </w:p>
    <w:p>
      <w:r>
        <w:rPr>
          <w:b/>
        </w:rPr>
        <w:t xml:space="preserve">Ergebnis: </w:t>
      </w:r>
      <w:r>
        <w:t>Studienprotokoll (noch keine Ergebnisse), geplant: Verknüpfung Register der kognitiv Untersuchten mit Verschreibungsdaten und Komorbiditäten. Ziel: Prävalenz Polypharmazie und problematischer Medikamente bei diagnostizierter MCI/Demenz beschreiben, deprescribing-Interventionen informieren.</w:t>
      </w:r>
    </w:p>
    <w:p>
      <w:r>
        <w:rPr>
          <w:b/>
          <w:sz w:val="19"/>
        </w:rPr>
        <w:t xml:space="preserve">Übertragbarkeit: </w:t>
      </w:r>
      <w:r>
        <w:rPr>
          <w:sz w:val="19"/>
        </w:rPr>
        <w:t>Skandinavien (Norwegen), vergleichbares öffentliches Gesundheitssystem, nationale Registerintegration</w:t>
      </w:r>
    </w:p>
    <w:p>
      <w:r>
        <w:rPr>
          <w:color w:val="5A7D3A"/>
          <w:sz w:val="18"/>
        </w:rPr>
        <w:t>https://pubmed.ncbi.nlm.nih.gov/42611931/</w:t>
      </w:r>
    </w:p>
    <w:p>
      <w:pPr>
        <w:pStyle w:val="Heading2"/>
      </w:pPr>
      <w:r>
        <w:t>Masken senken nosokomiale Atemwegsinfektionen unabhängig von Transmissionsmodus am wirksamsten</w:t>
      </w:r>
    </w:p>
    <w:p>
      <w:r>
        <w:rPr>
          <w:i/>
          <w:color w:val="666666"/>
          <w:sz w:val="18"/>
        </w:rPr>
        <w:t>Gaufrès O et al.  ·  PLoS Comput Biol  ·  03.08.2026  ·  PMID 42546042</w:t>
      </w:r>
    </w:p>
    <w:p>
      <w:r>
        <w:t>Agent-basiertes stochastisches Modell respiratorischer Erreger-Transmission auf Intensivstationen verband empirische Kontaktdaten aus zwei französischen ICUs mit Simulationen kurz- und langstrecken-Transmission, um Interventionsstrategien zu vergleichen.</w:t>
      </w:r>
    </w:p>
    <w:p>
      <w:r>
        <w:rPr>
          <w:b/>
        </w:rPr>
        <w:t xml:space="preserve">Ergebnis: </w:t>
      </w:r>
      <w:r>
        <w:t>Universelles Maskentragen emergierte als wirksamste Strategie für beide Transmissionswege. Mit Lüftung in patientenzugänglichen Räumen konnten Masken mit begrenztem Wirkungsverlust reduziert werden. Interventionen für Beschäftigte (z. B. Lüftung nicht für Patienten zugänglich) senken indirekt Inzidenz bei Patienten stärker, wenn kombiniert mit gelockerten Maskenmaßnahmen.</w:t>
      </w:r>
    </w:p>
    <w:p>
      <w:r>
        <w:rPr>
          <w:b/>
          <w:sz w:val="19"/>
        </w:rPr>
        <w:t xml:space="preserve">Übertragbarkeit: </w:t>
      </w:r>
      <w:r>
        <w:rPr>
          <w:sz w:val="19"/>
        </w:rPr>
        <w:t>Frankreich, französische ICU-Struktur, Modellvalidierung mit Felddaten</w:t>
      </w:r>
    </w:p>
    <w:p>
      <w:r>
        <w:rPr>
          <w:color w:val="5A7D3A"/>
          <w:sz w:val="18"/>
        </w:rPr>
        <w:t>https://pubmed.ncbi.nlm.nih.gov/42546042/</w:t>
      </w:r>
    </w:p>
    <w:p>
      <w:pPr>
        <w:pStyle w:val="Heading2"/>
      </w:pPr>
      <w:r>
        <w:t>Piperacillin-Tazobactam-Resistenz und Mortalität: keine signifikante Assoziation nach Risikoanpassung</w:t>
      </w:r>
    </w:p>
    <w:p>
      <w:r>
        <w:rPr>
          <w:i/>
          <w:color w:val="666666"/>
          <w:sz w:val="18"/>
        </w:rPr>
        <w:t>Tusch E et al.  ·  JAMA Netw Open  ·  01.07.2026  ·  PMID 42485042</w:t>
      </w:r>
    </w:p>
    <w:p>
      <w:r>
        <w:t>Dänische nationale Registeranalyse von 34.379 Patienten mit E. coli oder K. pneumoniae Bacteriämie, Vergleich TZP-resistent vs. -empfindlich für 30-Tage-Mortalität.</w:t>
      </w:r>
    </w:p>
    <w:p>
      <w:r>
        <w:rPr>
          <w:b/>
        </w:rPr>
        <w:t xml:space="preserve">Ergebnis: </w:t>
      </w:r>
      <w:r>
        <w:t>E. coli: 5,9% TZP-resistent (1689/28.649), K. pneumoniae: 9,5% TZP-resistent (597/6314). Rohe HR E. coli 1,22 (95%-KI 1,08–1,38), K. pneumoniae 1,27 (95%-KI 1,05–1,52). Nach Anpassung auf Baseline-Risikofaktoren kein signifikanter Unterschied: E. coli aHR 1,09 (95%-KI 0,94–1,27), K. pneumoniae aHR 1,15 (95%-KI 0,94–1,41).</w:t>
      </w:r>
    </w:p>
    <w:p>
      <w:r>
        <w:rPr>
          <w:b/>
          <w:sz w:val="19"/>
        </w:rPr>
        <w:t xml:space="preserve">Übertragbarkeit: </w:t>
      </w:r>
      <w:r>
        <w:rPr>
          <w:sz w:val="19"/>
        </w:rPr>
        <w:t>Skandinavien (Dänemark), vergleichbares öffentliches Gesundheitssystem, nationale Vollzählung</w:t>
      </w:r>
    </w:p>
    <w:p>
      <w:r>
        <w:rPr>
          <w:color w:val="5A7D3A"/>
          <w:sz w:val="18"/>
        </w:rPr>
        <w:t>https://pubmed.ncbi.nlm.nih.gov/42485042/</w:t>
      </w:r>
    </w:p>
    <w:p>
      <w:pPr>
        <w:pStyle w:val="Heading1"/>
      </w:pPr>
      <w:r>
        <w:t>Aufgenommen am 05.09.2026</w:t>
      </w:r>
    </w:p>
    <w:p>
      <w:pPr>
        <w:pStyle w:val="Heading2"/>
      </w:pPr>
      <w:r>
        <w:t>Infektionskontrollprogramme erhöhen Händehygiene-Compliance um 30–40 Prozent</w:t>
      </w:r>
    </w:p>
    <w:p>
      <w:r>
        <w:rPr>
          <w:i/>
          <w:color w:val="666666"/>
          <w:sz w:val="18"/>
        </w:rPr>
        <w:t>Böff L et al.  ·  BMJ Open  ·  04.09.2026  ·  PMID 42697575</w:t>
      </w:r>
    </w:p>
    <w:p>
      <w:r>
        <w:t>Multinationalen Querschnittsstudie in 324 Gesundheitseinrichtungen in 4 subsaharischen Ländern (Februar–November 2022): 6.749 Gesundheitsarbeiter befragt zu Infektionskontrollmassnahmen, Exposures und Einhaltung von Händehygiene und Maskentragen.</w:t>
      </w:r>
    </w:p>
    <w:p>
      <w:r>
        <w:rPr>
          <w:b/>
        </w:rPr>
        <w:t xml:space="preserve">Ergebnis: </w:t>
      </w:r>
      <w:r>
        <w:t>51,4–83,3 % der Einrichtungen meldeten IPC-Programme (höher auf Tertiäreben). Nur 19,8 % hatten Handdesinfektionsmittel in jedem Zimmer. Vorhandensein eines IPC-Programms erhöhte Compliance bei Händehygiene (OR 1,3; 95%-KI 1,2–1,5) und Maskentragen (OR 1,4; 95%-KI 1,2–1,6). IPC-Training erhöhte Händehygiene-Compliance (OR 1,5; 95%-KI 1,3–1,7). Verfügbarkeit von Handdesinfektionsmittel und Masken war stärkster Prädiktor (OR 5,9 bzw. 2,3).</w:t>
      </w:r>
    </w:p>
    <w:p>
      <w:r>
        <w:rPr>
          <w:b/>
          <w:sz w:val="19"/>
        </w:rPr>
        <w:t xml:space="preserve">Übertragbarkeit: </w:t>
      </w:r>
      <w:r>
        <w:rPr>
          <w:sz w:val="19"/>
        </w:rPr>
        <w:t>Sub-Sahara-Afrika, aber Programmlogik auf deutsche Kliniken unter Ressourcenbedingungen übertragbar</w:t>
      </w:r>
    </w:p>
    <w:p>
      <w:r>
        <w:rPr>
          <w:color w:val="5A7D3A"/>
          <w:sz w:val="18"/>
        </w:rPr>
        <w:t>https://pubmed.ncbi.nlm.nih.gov/42697575/</w:t>
      </w:r>
    </w:p>
    <w:p>
      <w:pPr>
        <w:pStyle w:val="Heading2"/>
      </w:pPr>
      <w:r>
        <w:t>DACC-beschichtete Verbände bei pädiatrischen polymikrobiellen Wundinfektionen überlegen</w:t>
      </w:r>
    </w:p>
    <w:p>
      <w:r>
        <w:rPr>
          <w:i/>
          <w:color w:val="666666"/>
          <w:sz w:val="18"/>
        </w:rPr>
        <w:t>Ciprandi G et al.  ·  J Wound Care  ·  02.09.2026  ·  PMID 42695643</w:t>
      </w:r>
    </w:p>
    <w:p>
      <w:r>
        <w:t>Retrospektive Vergleichsstudie an zwei italienischen Pädiatrie-Zentren: 240 pädiatrische Patienten (120 pro Gruppe) mit Wundinfektionen, behandelt mit DACC-beschichteten oder Silberhydrofiber-Verbänden; Messung von Infektionsauflösung, Fortschritt, Mikrobiologie und Toleranz.</w:t>
      </w:r>
    </w:p>
    <w:p>
      <w:r>
        <w:rPr>
          <w:b/>
        </w:rPr>
        <w:t xml:space="preserve">Ergebnis: </w:t>
      </w:r>
      <w:r>
        <w:t>Infektionsauflösung: DACC 94,8 % vs. Silberhydrofiber 79,0 % (p=0,05). Keine Progression/Verschlechterung: DACC 4,2 % vs. 13,5 % (p=0,03) bzw. 2,5 % vs. 7,5 % (p=0,005). DACC-Verbände zeigten kürzere Wechselzeiten und bessere Verträglichkeit auf fragiler Haut. Häufig WHO-Prioritätserreger in Kulturen.</w:t>
      </w:r>
    </w:p>
    <w:p>
      <w:r>
        <w:rPr>
          <w:b/>
          <w:sz w:val="19"/>
        </w:rPr>
        <w:t xml:space="preserve">Übertragbarkeit: </w:t>
      </w:r>
      <w:r>
        <w:rPr>
          <w:sz w:val="19"/>
        </w:rPr>
        <w:t>Italien, deutschsprachiger Pädiatrie-Standard vergleichbar</w:t>
      </w:r>
    </w:p>
    <w:p>
      <w:r>
        <w:rPr>
          <w:color w:val="5A7D3A"/>
          <w:sz w:val="18"/>
        </w:rPr>
        <w:t>https://pubmed.ncbi.nlm.nih.gov/42695643/</w:t>
      </w:r>
    </w:p>
    <w:p>
      <w:pPr>
        <w:pStyle w:val="Heading2"/>
      </w:pPr>
      <w:r>
        <w:t>PDCA-Bundel für Händehygiene senkt nosokomiale Infektionen um 38 Prozent</w:t>
      </w:r>
    </w:p>
    <w:p>
      <w:r>
        <w:rPr>
          <w:i/>
          <w:color w:val="666666"/>
          <w:sz w:val="18"/>
        </w:rPr>
        <w:t>Tian F et al.  ·  J Vis Exp  ·  03.09.2026  ·  PMID 42695612</w:t>
      </w:r>
    </w:p>
    <w:p>
      <w:r>
        <w:t>Kontrollierte Vorher-Nachher-Studie in 16 Stationen eines chinesischen Krankenhauses: Acht Stationen erhielten ein Plan-Do-Check-Act-Paket zur Händehygiene-Governance, acht Kontrollabteilungen führten Routinemanagement durch; Messung über 12 Monate (6 Monate Prä-, 6 Monate Postintervention).</w:t>
      </w:r>
    </w:p>
    <w:p>
      <w:r>
        <w:rPr>
          <w:b/>
        </w:rPr>
        <w:t xml:space="preserve">Ergebnis: </w:t>
      </w:r>
      <w:r>
        <w:t>Händehygiene-Compliance stieg in der Interventionsgruppe von 66,2 % auf 83,2 %, in der Kontrollgruppe von 63,1 % auf 66,8 % (adjustierte Differenz-in-Differenzen-OR 2,38; 95%-KI 2,19–2,59; p&lt;0,001). Nosokomiale Infektionen sanken von 7,07 auf 4,37 pro 1.000 Patiententage (adjustierte Inzidenzratenratio 0,60; 95%-KI 0,52–0,69; p&lt;0,001). Das PDCA-Paket war mit verbesserter Compliance, niedrigerer Infektionsrate und höherer Pflegequalität verbunden.</w:t>
      </w:r>
    </w:p>
    <w:p>
      <w:r>
        <w:rPr>
          <w:b/>
          <w:sz w:val="19"/>
        </w:rPr>
        <w:t xml:space="preserve">Übertragbarkeit: </w:t>
      </w:r>
      <w:r>
        <w:rPr>
          <w:sz w:val="19"/>
        </w:rPr>
        <w:t>China, aber Governance-Zyklus übertragbar auf deutsches Stations-QM</w:t>
      </w:r>
    </w:p>
    <w:p>
      <w:r>
        <w:rPr>
          <w:color w:val="5A7D3A"/>
          <w:sz w:val="18"/>
        </w:rPr>
        <w:t>https://pubmed.ncbi.nlm.nih.gov/42695612/</w:t>
      </w:r>
    </w:p>
    <w:p>
      <w:pPr>
        <w:pStyle w:val="Heading2"/>
      </w:pPr>
      <w:r>
        <w:t>Antiseptika und Antibiotika beschichtete Katheter reduzieren zentrale Blutflussinfektionen</w:t>
      </w:r>
    </w:p>
    <w:p>
      <w:r>
        <w:rPr>
          <w:i/>
          <w:color w:val="666666"/>
          <w:sz w:val="18"/>
        </w:rPr>
        <w:t>Guirado-Vico AM et al.  ·  J Infus Nurs  ·  25.08.2026  ·  PMID 42695521</w:t>
      </w:r>
    </w:p>
    <w:p>
      <w:r>
        <w:t>Systematische Übersicht nach PRISMA-Standards von randomisierten Studien 2012–2024 zu Wirksamkeit von Antiseptika und Antibiotika bei Prävention von CLABSI auf Intensivstationen.</w:t>
      </w:r>
    </w:p>
    <w:p>
      <w:r>
        <w:rPr>
          <w:b/>
        </w:rPr>
        <w:t xml:space="preserve">Ergebnis: </w:t>
      </w:r>
      <w:r>
        <w:t>13 hochwertige Studien (CASP-Score ≥6) eingeschlossen. Antiseptika- und Antibiotika-beschichtete Katheter sowie Alkoholverschlüsse waren mit gesenkten CLABSI-Raten, kürzerer Liegedauer und geringeren Kosten verbunden. Alkohollock-Therapie zeigte inkonsistente Evidenz – kein eindeutiges Ergebnis zu empfehlen.</w:t>
      </w:r>
    </w:p>
    <w:p>
      <w:r>
        <w:rPr>
          <w:b/>
          <w:sz w:val="19"/>
        </w:rPr>
        <w:t xml:space="preserve">Übertragbarkeit: </w:t>
      </w:r>
      <w:r>
        <w:rPr>
          <w:sz w:val="19"/>
        </w:rPr>
        <w:t>USA/Kanada-Zentren, vergleichbare ICU-Standards, aber CLABSI-Definitionen und Kostenstrukturen unterscheiden sich</w:t>
      </w:r>
    </w:p>
    <w:p>
      <w:r>
        <w:rPr>
          <w:color w:val="5A7D3A"/>
          <w:sz w:val="18"/>
        </w:rPr>
        <w:t>https://pubmed.ncbi.nlm.nih.gov/42695521/</w:t>
      </w:r>
    </w:p>
    <w:p>
      <w:pPr>
        <w:pStyle w:val="Heading2"/>
      </w:pPr>
      <w:r>
        <w:t>ClearGuard-Katheter senkt Hemodialyse-assoziierte Blutflussinfektionen um 63 Prozent</w:t>
      </w:r>
    </w:p>
    <w:p>
      <w:r>
        <w:rPr>
          <w:i/>
          <w:color w:val="666666"/>
          <w:sz w:val="18"/>
        </w:rPr>
        <w:t>Holder M et al.  ·  J Infus Nurs  ·  25.08.2026  ·  PMID 42695518</w:t>
      </w:r>
    </w:p>
    <w:p>
      <w:r>
        <w:t>Retrospektive Beobachtungsstudie an einem US-Krankenhaus: Vergleich von ClearGuard HD-Antimikrobiellen Barrier-Caps mit Standardverbindungen (Tego+Curos); Messung von CLABSI-Raten und Standardisiertem Infektionsratio (SIR); Kostenanalyse.</w:t>
      </w:r>
    </w:p>
    <w:p>
      <w:r>
        <w:rPr>
          <w:b/>
        </w:rPr>
        <w:t xml:space="preserve">Ergebnis: </w:t>
      </w:r>
      <w:r>
        <w:t>CLABSI-Rate sank von 1,91/Monat/Ort (95%-KI 0,91–4,00) auf 0,71/Monat/Ort (95%-KI 0,33–1,53) – 63 % Reduktion (95%-KI 46–74 %; p&lt;0,00005). SIR sank von 0,721 auf 0,310 (57 % Reduktion). Geschätzter jährlicher Kostensparnis: 1,6 Millionen Dollar. Klinisch signifikante Senkung ohne aufgearbeitete Nebenwirkungen.</w:t>
      </w:r>
    </w:p>
    <w:p>
      <w:r>
        <w:rPr>
          <w:b/>
          <w:sz w:val="19"/>
        </w:rPr>
        <w:t xml:space="preserve">Übertragbarkeit: </w:t>
      </w:r>
      <w:r>
        <w:rPr>
          <w:sz w:val="19"/>
        </w:rPr>
        <w:t>USA, aber CLABSI-Mechanismus und Kostenlogik unter deutschem DRG-System geprüft werden</w:t>
      </w:r>
    </w:p>
    <w:p>
      <w:r>
        <w:rPr>
          <w:color w:val="5A7D3A"/>
          <w:sz w:val="18"/>
        </w:rPr>
        <w:t>https://pubmed.ncbi.nlm.nih.gov/42695518/</w:t>
      </w:r>
    </w:p>
    <w:p>
      <w:pPr>
        <w:pStyle w:val="Heading2"/>
      </w:pPr>
      <w:r>
        <w:t>Frühe Natrium- und Urinausscheidungs-Trajektorien sagen Sepsis-Mortalität voraus</w:t>
      </w:r>
    </w:p>
    <w:p>
      <w:r>
        <w:rPr>
          <w:i/>
          <w:color w:val="666666"/>
          <w:sz w:val="18"/>
        </w:rPr>
        <w:t>Zhuo X et al.  ·  J Glob Health  ·  04.09.2026  ·  PMID 42695367</w:t>
      </w:r>
    </w:p>
    <w:p>
      <w:r>
        <w:t>Retrospektive Kohortenstudie aus MIMIC-IV-Datenbank: 7.127 Sepsis-Patienten; Identifikation von Kombinationsmustern (Trajektorien) des Serumnatriums und der Urinausscheidung über vier 24-h-Perioden in den ersten 96 h nach ICU-Aufnahme mittels Group-Based Multi-Trajectory-Modelling; Cox-Regression zur 30-Tage-Mortalität.</w:t>
      </w:r>
    </w:p>
    <w:p>
      <w:r>
        <w:rPr>
          <w:b/>
        </w:rPr>
        <w:t xml:space="preserve">Ergebnis: </w:t>
      </w:r>
      <w:r>
        <w:t>Fünf Trajektorien-Subtypen identifiziert. Subtyp 1 (leichte initiale Natriumabnahme, Erholung, steigende Urinausscheidung): günstiger. Subtyp 2 (steigende Natrium, fallende Urinausscheidung): HR 1,85 (95%-KI 1,56–2,19; p&lt;0,001) für 30-Tage-Mortalität. Subtypen 4 und 5 auch erhöhtes Risiko (HR 1,31 bzw. 1,53). Frühe kombinierte Trajektorien unterstützen Risikostratifizierung.</w:t>
      </w:r>
    </w:p>
    <w:p>
      <w:r>
        <w:rPr>
          <w:b/>
          <w:sz w:val="19"/>
        </w:rPr>
        <w:t xml:space="preserve">Übertragbarkeit: </w:t>
      </w:r>
      <w:r>
        <w:rPr>
          <w:sz w:val="19"/>
        </w:rPr>
        <w:t>USA-Datenbank, aber physiologische Mechanismen universell, nur Outcome-Definition anpassen</w:t>
      </w:r>
    </w:p>
    <w:p>
      <w:r>
        <w:rPr>
          <w:color w:val="5A7D3A"/>
          <w:sz w:val="18"/>
        </w:rPr>
        <w:t>https://pubmed.ncbi.nlm.nih.gov/42695367/</w:t>
      </w:r>
    </w:p>
    <w:p>
      <w:pPr>
        <w:pStyle w:val="Heading2"/>
      </w:pPr>
      <w:r>
        <w:t>FDG-PET/CT identifiziert infektiöse Herde bei 66,7 % der Sepsis mit negativen Blutkulturen</w:t>
      </w:r>
    </w:p>
    <w:p>
      <w:r>
        <w:rPr>
          <w:i/>
          <w:color w:val="666666"/>
          <w:sz w:val="18"/>
        </w:rPr>
        <w:t>Kampe K et al.  ·  Crit Care Explor  ·  01.09.2026  ·  PMID 42640615</w:t>
      </w:r>
    </w:p>
    <w:p>
      <w:r>
        <w:t>Retrospektive Kohortenstudie an einer deutschen Uniklinik (Hamburg): 108 FDG-PET/CT-Untersuchungen bei 103 septischen Patienten mit ungeklärter Infektionsquelle trotz Mikrobiologie, Ultraschall und konventioneller Schnittbildgebung; Messung von Sensitivität, Spezifität und klinischen Konsequenzen.</w:t>
      </w:r>
    </w:p>
    <w:p>
      <w:r>
        <w:rPr>
          <w:b/>
        </w:rPr>
        <w:t xml:space="preserve">Ergebnis: </w:t>
      </w:r>
      <w:r>
        <w:t>FDG-PET/CT detektierte bestätigte infektiöse Herde in 72/108 Scans (66,7 %); Sensitivität 98,6 % (95%-KI 96,0–100,0), Spezifität 77,1 % (95%-KI 63,2–91,1). 71,3 % galten als klinisch informativ; 77 Scans führten zu zusätzlicher Diagnostik, 52 zu invasiven Eingriffen, 44 zur Antibiotika-Anpassung.</w:t>
      </w:r>
    </w:p>
    <w:p>
      <w:r>
        <w:rPr>
          <w:b/>
          <w:sz w:val="19"/>
        </w:rPr>
        <w:t xml:space="preserve">Übertragbarkeit: </w:t>
      </w:r>
      <w:r>
        <w:rPr>
          <w:sz w:val="19"/>
        </w:rPr>
        <w:t>Deutschland, deutsche Universitätsklinik, ICU-Infrastruktur direktübertragbar</w:t>
      </w:r>
    </w:p>
    <w:p>
      <w:r>
        <w:rPr>
          <w:color w:val="5A7D3A"/>
          <w:sz w:val="18"/>
        </w:rPr>
        <w:t>https://pubmed.ncbi.nlm.nih.gov/42640615/</w:t>
      </w:r>
    </w:p>
    <w:p>
      <w:pPr>
        <w:pStyle w:val="Heading1"/>
      </w:pPr>
      <w:r>
        <w:t>Aufgenommen am 04.09.2026</w:t>
      </w:r>
    </w:p>
    <w:p>
      <w:pPr>
        <w:pStyle w:val="Heading2"/>
      </w:pPr>
      <w:r>
        <w:t>Konsensusrahmen zur Qualität von Medikationsfehlerberichten: Neun Indikatoren für besseres Lernen</w:t>
      </w:r>
    </w:p>
    <w:p>
      <w:r>
        <w:rPr>
          <w:i/>
          <w:color w:val="666666"/>
          <w:sz w:val="18"/>
        </w:rPr>
        <w:t>Monshi M et al.  ·  BMJ Open  ·  02.09.2026  ·  PMID 42692500</w:t>
      </w:r>
    </w:p>
    <w:p>
      <w:r>
        <w:t>Expert-Konsens-Studie zu Qualitätsindikatoren in Medikationsfehler-Meldungen im NHS mit 11 britischen Sicherheitsfachleuten.</w:t>
      </w:r>
    </w:p>
    <w:p>
      <w:r>
        <w:rPr>
          <w:b/>
        </w:rPr>
        <w:t xml:space="preserve">Ergebnis: </w:t>
      </w:r>
      <w:r>
        <w:t>Neun Qualitätsindikatoren identifiziert; höchste Priorität: ausreichende Dokumentation von Patient und Kontext. Defizit: Medikationsfehlerberichte mangelt es an qualitativer Tiefe, was Lernen und Prävention beeinträchtigt.</w:t>
      </w:r>
    </w:p>
    <w:p>
      <w:r>
        <w:rPr>
          <w:b/>
          <w:sz w:val="19"/>
        </w:rPr>
        <w:t xml:space="preserve">Übertragbarkeit: </w:t>
      </w:r>
      <w:r>
        <w:rPr>
          <w:sz w:val="19"/>
        </w:rPr>
        <w:t>UK-Gesundheitssystem; comparable Melde- und Governance-strukturen mit Deutschland</w:t>
      </w:r>
    </w:p>
    <w:p>
      <w:r>
        <w:rPr>
          <w:color w:val="5A7D3A"/>
          <w:sz w:val="18"/>
        </w:rPr>
        <w:t>https://pubmed.ncbi.nlm.nih.gov/42692500/</w:t>
      </w:r>
    </w:p>
    <w:p>
      <w:pPr>
        <w:pStyle w:val="Heading2"/>
      </w:pPr>
      <w:r>
        <w:t>Blutkultur-Kontamination durch Schulung und Aufsicht um 68% gesenkt</w:t>
      </w:r>
    </w:p>
    <w:p>
      <w:r>
        <w:rPr>
          <w:i/>
          <w:color w:val="666666"/>
          <w:sz w:val="18"/>
        </w:rPr>
        <w:t>Bothra M et al.  ·  Natl Med J India  ·  Sept. 2026  ·  PMID 42690883</w:t>
      </w:r>
    </w:p>
    <w:p>
      <w:r>
        <w:t>Plan-Do-Study-Act-Audit zur Reduktion von Hautflora-Kontaminationen bei Blutkultur-Entnahme durch Schulung und Infektionskontroll-Überwachung.</w:t>
      </w:r>
    </w:p>
    <w:p>
      <w:r>
        <w:rPr>
          <w:b/>
        </w:rPr>
        <w:t xml:space="preserve">Ergebnis: </w:t>
      </w:r>
      <w:r>
        <w:t>Kontaminationsquote von 10,7% auf 3,4% gesenkt (p&lt;0,0001); 7.329 Blutkulturen untersucht (5.700 post-intervention). Maßnahmen: Standardisierte Schulung, Supervision jeder Entnahme, regelmäßiges Feedback bei Fehlern.</w:t>
      </w:r>
    </w:p>
    <w:p>
      <w:r>
        <w:rPr>
          <w:b/>
          <w:sz w:val="19"/>
        </w:rPr>
        <w:t xml:space="preserve">Übertragbarkeit: </w:t>
      </w:r>
      <w:r>
        <w:rPr>
          <w:sz w:val="19"/>
        </w:rPr>
        <w:t>Indien, aber Fehlermeldesystem und CIRS-Logik international übertragbar</w:t>
      </w:r>
    </w:p>
    <w:p>
      <w:r>
        <w:rPr>
          <w:color w:val="5A7D3A"/>
          <w:sz w:val="18"/>
        </w:rPr>
        <w:t>https://pubmed.ncbi.nlm.nih.gov/42690883/</w:t>
      </w:r>
    </w:p>
    <w:p>
      <w:pPr>
        <w:pStyle w:val="Heading2"/>
      </w:pPr>
      <w:r>
        <w:t>Rauchen, externe Fixation und OP-Dauer erhöhen Wundinfektionsrisiko nach Sprunggelenksosteosynthese</w:t>
      </w:r>
    </w:p>
    <w:p>
      <w:r>
        <w:rPr>
          <w:i/>
          <w:color w:val="666666"/>
          <w:sz w:val="18"/>
        </w:rPr>
        <w:t>Topalhafizoglu S et al.  ·  Acta Orthop  ·  03.09.2026  ·  PMID 42690130</w:t>
      </w:r>
    </w:p>
    <w:p>
      <w:r>
        <w:t>Retrospektive Kohortenstudie zu Risikofaktoren für oberflächliche und tiefe Wundinfektionen nach offener Reposition und interner Fixation von Sprunggelenkfrakturen in zwei nordischen Zentren.</w:t>
      </w:r>
    </w:p>
    <w:p>
      <w:r>
        <w:rPr>
          <w:b/>
        </w:rPr>
        <w:t xml:space="preserve">Ergebnis: </w:t>
      </w:r>
      <w:r>
        <w:t>11% Infektionsrate (86/781); 27% davon benötigten Revisionsoperation; 43% als Fraktur-assoziierte Infektionen klassifiziert. Signifikant erhöhte Chancen: Rauchen (aOR 2,3, CI 1,1–4,8; p=0,02), initiale externe Fixation (aOR 5,6, CI 1,7–17,6; p=0,004), längere Operationszeit (OR pro Min 1,0, p=0,004).</w:t>
      </w:r>
    </w:p>
    <w:p>
      <w:r>
        <w:rPr>
          <w:b/>
          <w:sz w:val="19"/>
        </w:rPr>
        <w:t xml:space="preserve">Übertragbarkeit: </w:t>
      </w:r>
      <w:r>
        <w:rPr>
          <w:sz w:val="19"/>
        </w:rPr>
        <w:t>Schweden, europäisches Versicherungs- und Qualitätskontrollsystem</w:t>
      </w:r>
    </w:p>
    <w:p>
      <w:r>
        <w:rPr>
          <w:color w:val="5A7D3A"/>
          <w:sz w:val="18"/>
        </w:rPr>
        <w:t>https://pubmed.ncbi.nlm.nih.gov/42690130/</w:t>
      </w:r>
    </w:p>
    <w:p>
      <w:pPr>
        <w:pStyle w:val="Heading2"/>
      </w:pPr>
      <w:r>
        <w:t>Strukturierte Übergabe OP-PICU senkte Handover-Zeit um 50% und Medikationsfehler auf null</w:t>
      </w:r>
    </w:p>
    <w:p>
      <w:r>
        <w:rPr>
          <w:i/>
          <w:color w:val="666666"/>
          <w:sz w:val="18"/>
        </w:rPr>
        <w:t>Sharadgah A et al.  ·  Nurs Crit Care  ·  Sept. 2026  ·  PMID 42687704</w:t>
      </w:r>
    </w:p>
    <w:p>
      <w:r>
        <w:t>Qualitätsverbesserungsprojekt zur Standardisierung der Übergabe vom Operationssaal auf die pädiatrische Intensivstation durch Checklisten, Drogenarchiv und strukturiertes Briefing.</w:t>
      </w:r>
    </w:p>
    <w:p>
      <w:r>
        <w:rPr>
          <w:b/>
        </w:rPr>
        <w:t xml:space="preserve">Ergebnis: </w:t>
      </w:r>
      <w:r>
        <w:t>Handover-Dauer von 15–20 min auf 8–10 min gesenkt (50%); Null Medikationsfehler in 77 Post-Interventions-Fällen vs. 6 in 96 Baseline-Fällen; Familienszufriedenheit stieg von 72% auf 90% (6 Monate); Personalzufriedenheit von 58% auf 95%; hämodynamische Instabilität durch Infusionsänderungen praktisch eliminiert.</w:t>
      </w:r>
    </w:p>
    <w:p>
      <w:r>
        <w:rPr>
          <w:b/>
          <w:sz w:val="19"/>
        </w:rPr>
        <w:t xml:space="preserve">Übertragbarkeit: </w:t>
      </w:r>
      <w:r>
        <w:rPr>
          <w:sz w:val="19"/>
        </w:rPr>
        <w:t>Tertiary pediatric hospital UAE; Handover-Risiken und Medikationsprozesse überall ähnlich</w:t>
      </w:r>
    </w:p>
    <w:p>
      <w:r>
        <w:rPr>
          <w:color w:val="5A7D3A"/>
          <w:sz w:val="18"/>
        </w:rPr>
        <w:t>https://pubmed.ncbi.nlm.nih.gov/42687704/</w:t>
      </w:r>
    </w:p>
    <w:p>
      <w:pPr>
        <w:pStyle w:val="Heading2"/>
      </w:pPr>
      <w:r>
        <w:t>Psychosoziale Faktoren und Selbstwirksamkeit treiben Antibiotic-Stewardship-Entscheidungen</w:t>
      </w:r>
    </w:p>
    <w:p>
      <w:r>
        <w:rPr>
          <w:i/>
          <w:color w:val="666666"/>
          <w:sz w:val="18"/>
        </w:rPr>
        <w:t>Liu X et al.  ·  Sci Rep  ·  13.08.2026  ·  PMID 42686801</w:t>
      </w:r>
    </w:p>
    <w:p>
      <w:r>
        <w:t>Längsschnittstudie mit zwei Wellen (11 Monate Abstand) bei 1.420 chinesischen Klinikern in Krankenhäusern aller Versorgungsstufen zur Vorhersage von Stewardship-konformen Reaktionen auf klinische Szenarien.</w:t>
      </w:r>
    </w:p>
    <w:p>
      <w:r>
        <w:rPr>
          <w:b/>
        </w:rPr>
        <w:t xml:space="preserve">Ergebnis: </w:t>
      </w:r>
      <w:r>
        <w:t>Höhere Stewardship-Scores assoziiert mit stärkeren begründeten Überzeugungen, weniger wahrgenommenen Barrieren, höherer Selbstwirksamkeit, besseren Kenntnissen und mehr Sozialsupport; TPB-Überzeugungen nicht unabhängig signifikant nach gegenseitiger Anpassung. Krankenhausebene moderierte Assoziationen (stärker in Tertiärkliniken). Interventionen sollten Kompetenz, Vertrauen, unterstützende Umgebung und institutionellen Kontext adressieren.</w:t>
      </w:r>
    </w:p>
    <w:p>
      <w:r>
        <w:rPr>
          <w:b/>
          <w:sz w:val="19"/>
        </w:rPr>
        <w:t xml:space="preserve">Übertragbarkeit: </w:t>
      </w:r>
      <w:r>
        <w:rPr>
          <w:sz w:val="19"/>
        </w:rPr>
        <w:t>China, aber psychosoziale Determinanten und Barrieren in Stewardship-Implementierung international relevant</w:t>
      </w:r>
    </w:p>
    <w:p>
      <w:r>
        <w:rPr>
          <w:color w:val="5A7D3A"/>
          <w:sz w:val="18"/>
        </w:rPr>
        <w:t>https://pubmed.ncbi.nlm.nih.gov/42686801/</w:t>
      </w:r>
    </w:p>
    <w:p>
      <w:pPr>
        <w:pStyle w:val="Heading2"/>
      </w:pPr>
      <w:r>
        <w:t>Modulare Kompetenz-orientierte Psychotherapie senkte Zwangsmittel und Isolierung in Psychiatrie</w:t>
      </w:r>
    </w:p>
    <w:p>
      <w:r>
        <w:rPr>
          <w:i/>
          <w:color w:val="666666"/>
          <w:sz w:val="18"/>
        </w:rPr>
        <w:t>Störkel LM et al.  ·  BMC Psychiatry  ·  05.08.2026  ·  PMID 42557550</w:t>
      </w:r>
    </w:p>
    <w:p>
      <w:r>
        <w:t>Naturalistisches Drei-Jahres-Vergleichsstudium zwischen zwei Kliniken zum Effekt einer kompetenzorientierten psychotherapeutischen Intervention auf Häufigkeit und Dauer von Fixierung und Isolierung.</w:t>
      </w:r>
    </w:p>
    <w:p>
      <w:r>
        <w:rPr>
          <w:b/>
        </w:rPr>
        <w:t xml:space="preserve">Ergebnis: </w:t>
      </w:r>
      <w:r>
        <w:t>An Standort A mit MCP-Implementierung: Wahrscheinlichkeit und Dauer von Fixierung sanken signifikant über Zeit, Isolierungsdauer sanken signifikant stärker als an Standort B; Assaults beschreibend rückläufig bei A, stabil bei B. Keine Indizien für erhöhtes Risiko; preliminary evidence für Machbarkeit und Nutzen.</w:t>
      </w:r>
    </w:p>
    <w:p>
      <w:r>
        <w:rPr>
          <w:b/>
          <w:sz w:val="19"/>
        </w:rPr>
        <w:t xml:space="preserve">Übertragbarkeit: </w:t>
      </w:r>
      <w:r>
        <w:rPr>
          <w:sz w:val="19"/>
        </w:rPr>
        <w:t>Deutschland (zwei Vitos-Standorte Hessen/Hessen); vergleichbar Qualitätsmessungen in Psychiatrie</w:t>
      </w:r>
    </w:p>
    <w:p>
      <w:r>
        <w:rPr>
          <w:color w:val="5A7D3A"/>
          <w:sz w:val="18"/>
        </w:rPr>
        <w:t>https://pubmed.ncbi.nlm.nih.gov/42557550/</w:t>
      </w:r>
    </w:p>
    <w:p>
      <w:pPr>
        <w:pStyle w:val="Heading1"/>
      </w:pPr>
      <w:r>
        <w:t>Aufgenommen am 03.09.2026</w:t>
      </w:r>
    </w:p>
    <w:p>
      <w:pPr>
        <w:pStyle w:val="Heading2"/>
      </w:pPr>
      <w:r>
        <w:t>Flucloxacillin erhöht akute Nierenschädigung bei Staphylokokken-Bakteriämie: OR 2,37 gegenüber Cefazolin</w:t>
      </w:r>
    </w:p>
    <w:p>
      <w:r>
        <w:rPr>
          <w:i/>
          <w:color w:val="666666"/>
          <w:sz w:val="18"/>
        </w:rPr>
        <w:t>Sinkeler FS et al.  ·  J Antimicrob Chemother  ·  01.09.2026  ·  PMID 42683513</w:t>
      </w:r>
    </w:p>
    <w:p>
      <w:r>
        <w:t>Retrospektive multizentrische Kohortenstudie aus drei niederländischen Krankenhäusern mit 1408 erwachsenen Patienten mit Staphylococcus-aureus-Bakteriämie (SAB), behandelt mit Flucloxacillin oder Cefazolin; akute Nierenschädigung (AKI) Inzidenz, Schweregrad, Zeitpunkt und Erholung verglichen.</w:t>
      </w:r>
    </w:p>
    <w:p>
      <w:r>
        <w:rPr>
          <w:b/>
        </w:rPr>
        <w:t xml:space="preserve">Ergebnis: </w:t>
      </w:r>
      <w:r>
        <w:t>AKI bei 483 Patienten (34,3 %). Größere AKI-Häufigkeit unter Flucloxacillin (466/1324 [35,2 %] vs. 17/84 [20,2 %]; p=0,004). Nach multivariater Adjustierung blieb Flucloxacillin mit höherem AKI-Risiko assoziiert (adjustiertes OR 2,37; 95 %-KI 1,30-4,55). Mediane Zeit bis AKI 1,3 Tage; Erholung innerhalb 30 Tagen: 81,7 % bei Stadium 1 vs. 50,5 % bei Stadium 3. Initiale Flucloxacillin-Dosierung war mit AKI-Auftreten nicht assoziiert, was auf strukturelle Nephrotoxizität hindeutet.</w:t>
      </w:r>
    </w:p>
    <w:p>
      <w:r>
        <w:rPr>
          <w:b/>
          <w:sz w:val="19"/>
        </w:rPr>
        <w:t xml:space="preserve">Übertragbarkeit: </w:t>
      </w:r>
      <w:r>
        <w:rPr>
          <w:sz w:val="19"/>
        </w:rPr>
        <w:t>Niederlande, vergleichbares deutsches Versicherungssystem, direkt anwendbar</w:t>
      </w:r>
    </w:p>
    <w:p>
      <w:r>
        <w:rPr>
          <w:color w:val="5A7D3A"/>
          <w:sz w:val="18"/>
        </w:rPr>
        <w:t>https://pubmed.ncbi.nlm.nih.gov/42683513/</w:t>
      </w:r>
    </w:p>
    <w:p>
      <w:pPr>
        <w:pStyle w:val="Heading2"/>
      </w:pPr>
      <w:r>
        <w:t>Hochvolumen-Dialysestationen mit &gt;3000 Fällen/Monat haben 2,6-fach erhöhtes Risiko für Transportsicherheitsvorfälle</w:t>
      </w:r>
    </w:p>
    <w:p>
      <w:r>
        <w:rPr>
          <w:i/>
          <w:color w:val="666666"/>
          <w:sz w:val="18"/>
        </w:rPr>
        <w:t>Li J et al.  ·  Front Public Health  ·  18.08.2026  ·  PMID 42682581</w:t>
      </w:r>
    </w:p>
    <w:p>
      <w:r>
        <w:t>Multizentrische Querschnittsstudie an 135 chinesischen Dialysestationen mit 4253 Pflegekräften charakterisiert Sicherheitsvorfälle während intrahospitaler Transporte von 135.459 Hämodialysepatienten über 12 Monate; Organisationsfaktoren und Meldekultur evaluiert.</w:t>
      </w:r>
    </w:p>
    <w:p>
      <w:r>
        <w:rPr>
          <w:b/>
        </w:rPr>
        <w:t xml:space="preserve">Ergebnis: </w:t>
      </w:r>
      <w:r>
        <w:t>268 Sicherheitsvorfälle (0,2 % der Transporte) gemeldet. Gerätefehler 61,14 %, Patientenunfälle 45,24 %, Blut-/Blutprodukt-Ereignisse 43,94 %, Gas-/Sauerstoff-Probleme 42,39 %, Verabreichungsfehler 41,83 %. Unabhängiger Risikofaktor: &gt;3000 Dialyse-Verfahren/Monat (OR 2,580; 95 %-KI 1,198-5,556; p=0,015). Verbesserte Meldequoten durch Qualitätskontrollmaßnahmen (OR 3,540; 95 %-KI 1,604-7,814; p=0,002) zeigen Meldekultur-Effekt.</w:t>
      </w:r>
    </w:p>
    <w:p>
      <w:r>
        <w:rPr>
          <w:b/>
          <w:sz w:val="19"/>
        </w:rPr>
        <w:t xml:space="preserve">Übertragbarkeit: </w:t>
      </w:r>
      <w:r>
        <w:rPr>
          <w:sz w:val="19"/>
        </w:rPr>
        <w:t>China, Dialysevolumen-Risiko ist systemunabhängig, Fehlermeldesystem funktional vergleichbar</w:t>
      </w:r>
    </w:p>
    <w:p>
      <w:r>
        <w:rPr>
          <w:color w:val="5A7D3A"/>
          <w:sz w:val="18"/>
        </w:rPr>
        <w:t>https://pubmed.ncbi.nlm.nih.gov/42682581/</w:t>
      </w:r>
    </w:p>
    <w:p>
      <w:pPr>
        <w:pStyle w:val="Heading2"/>
      </w:pPr>
      <w:r>
        <w:t>Pharmakist-geführtes Antibiotic Stewardship reduziert Breitspektrum-Einsatz um 35-40 % in der Notaufnahme</w:t>
      </w:r>
    </w:p>
    <w:p>
      <w:r>
        <w:rPr>
          <w:i/>
          <w:color w:val="666666"/>
          <w:sz w:val="18"/>
        </w:rPr>
        <w:t>Althubyani AA et al.  ·  J Am Coll Clin Pharm  ·  Sept. 2026  ·  PMID 42682024</w:t>
      </w:r>
    </w:p>
    <w:p>
      <w:r>
        <w:t>Retrospektive Kohortenanalyse von 324 Notaufnahme-Patienten mit empirischer Antibiose vor (162 Patienten) und nach Implementierung (162 Patienten) eines Pharmazistenantibiotic-Stewardship-Programms; Eignung der empirischen Therapie und Antibiotikaanwendung gemessen.</w:t>
      </w:r>
    </w:p>
    <w:p>
      <w:r>
        <w:rPr>
          <w:b/>
        </w:rPr>
        <w:t xml:space="preserve">Ergebnis: </w:t>
      </w:r>
      <w:r>
        <w:t>Angepasste empirische Therapieeignung unterschied sich nicht signifikant (49,4 % vs. 53,7 %; p=0,44). Aber signifikante Reduktion unnötiger Pseudomonasabdeckung (54,9 % vs. 35,2 %; p&lt;0,001), MRSA-Abdeckung (23,5 % vs. 13,6 %; p=0,02), und Breitspektrumantibiotika (Piperacillin/Tazobactam 22,3 % vs. 14,5 %; p=0,02). Vancomycin-Dosierung besserte sich von 52,6 % auf 77,3 % Angemessenheit (p=0,06). Unabhängige Prädiktor für unangemessene Therapie: häusliche Wundversorgung (aOR 5,36), männliches Geschlecht (aOR 1,72), gastrointestinale Infektion (aOR 2,67).</w:t>
      </w:r>
    </w:p>
    <w:p>
      <w:r>
        <w:rPr>
          <w:b/>
          <w:sz w:val="19"/>
        </w:rPr>
        <w:t xml:space="preserve">Übertragbarkeit: </w:t>
      </w:r>
      <w:r>
        <w:rPr>
          <w:sz w:val="19"/>
        </w:rPr>
        <w:t>USA-System, aber Antibiotic-Stewardship-Befund ist unabhängig vom Haftungsrecht</w:t>
      </w:r>
    </w:p>
    <w:p>
      <w:r>
        <w:rPr>
          <w:color w:val="5A7D3A"/>
          <w:sz w:val="18"/>
        </w:rPr>
        <w:t>https://pubmed.ncbi.nlm.nih.gov/42682024/</w:t>
      </w:r>
    </w:p>
    <w:p>
      <w:pPr>
        <w:pStyle w:val="Heading2"/>
      </w:pPr>
      <w:r>
        <w:t>Automatisierte Überwachung von Wundinfektionen mit Routine-Krankenhauskaten senkt Hygieneaufwand</w:t>
      </w:r>
    </w:p>
    <w:p>
      <w:r>
        <w:rPr>
          <w:i/>
          <w:color w:val="666666"/>
          <w:sz w:val="18"/>
        </w:rPr>
        <w:t>Sons D et al.  ·  Antimicrob Resist Infect Control  ·  31.08.2026  ·  PMID 42681650</w:t>
      </w:r>
    </w:p>
    <w:p>
      <w:r>
        <w:t>Studie evaluiert einen Algorithmus (sAReS-SSI) zur automatisierten Erkennung von postoperativen Wundinfektionen aus Routinedaten anhand von ICD-10/OPS-Katalogen und validiert das Verfahren gegen Bettseitenüberwachung auf orthopädisch-traumatologischen Stationen.</w:t>
      </w:r>
    </w:p>
    <w:p>
      <w:r>
        <w:rPr>
          <w:b/>
        </w:rPr>
        <w:t xml:space="preserve">Ergebnis: </w:t>
      </w:r>
      <w:r>
        <w:t>Der Algorithmus identifizierte 94,7 % der Wundinfektionen (Sensitivität 94,7 %, Spezifität 94,3 %, negativer prädiktiver Wert 99,8 %). Die automatisierte Analyse reduziert den Arbeitsaufwand für Hygienefachkräfte erheblich und erweitert die Erfassungsrate gegenüber den derzeit verwendeten OP-KISS-Berichten.</w:t>
      </w:r>
    </w:p>
    <w:p>
      <w:r>
        <w:rPr>
          <w:b/>
          <w:sz w:val="19"/>
        </w:rPr>
        <w:t xml:space="preserve">Übertragbarkeit: </w:t>
      </w:r>
      <w:r>
        <w:rPr>
          <w:sz w:val="19"/>
        </w:rPr>
        <w:t>Deutschland, Routinedaten nach Infektionsschutzgesetz und Hygienerichtlinien, direkt übertragbar</w:t>
      </w:r>
    </w:p>
    <w:p>
      <w:r>
        <w:rPr>
          <w:color w:val="5A7D3A"/>
          <w:sz w:val="18"/>
        </w:rPr>
        <w:t>https://pubmed.ncbi.nlm.nih.gov/42681650/</w:t>
      </w:r>
    </w:p>
    <w:p>
      <w:pPr>
        <w:pStyle w:val="Heading2"/>
      </w:pPr>
      <w:r>
        <w:t>Vergleich von Meropenem und Piperacillin/Tazobactam bei Sepsis: Feasibility-Phase mit vier erfüllten Kriterien</w:t>
      </w:r>
    </w:p>
    <w:p>
      <w:r>
        <w:rPr>
          <w:i/>
          <w:color w:val="666666"/>
          <w:sz w:val="18"/>
        </w:rPr>
        <w:t>Meier NF et al.  ·  Acta Anaesthesiol Scand  ·  Okt. 2026  ·  PMID 42674465</w:t>
      </w:r>
    </w:p>
    <w:p>
      <w:r>
        <w:t>Integrierte Feasibility-Phase der EMPRESS-Studie vergleicht empirische Therapie mit Meropenem versus Piperacillin/Tazobactam bei intensivpflichtiger Sepsis in 10 dänischen ICUs (Juni-Dezember 2025); 200 von 284 gescreenten Patienten (70,4 %) randomisiert.</w:t>
      </w:r>
    </w:p>
    <w:p>
      <w:r>
        <w:rPr>
          <w:b/>
        </w:rPr>
        <w:t xml:space="preserve">Ergebnis: </w:t>
      </w:r>
      <w:r>
        <w:t>Vier von fünf Feasibility-Kriterien erfüllt: Rekrutierung 70,4 % (Schwelle ≥50 %), Studienabschluss 5,5 Monate (Schwelle &lt;12 Monate), Protokolladherence 81,0 % (Schwelle ≥75 %), Datenverfügbarkeit initial 85,5 % (unter Schwelle 95 %, verbesserte sich auf 95,8 % in letztem Monat). 30-Tages-Mortalität 30,5 %, schwere unerwünschte Reaktionen 4,0 %. Studie wird ohne Änderungen fortgesetzt.</w:t>
      </w:r>
    </w:p>
    <w:p>
      <w:r>
        <w:rPr>
          <w:b/>
          <w:sz w:val="19"/>
        </w:rPr>
        <w:t xml:space="preserve">Übertragbarkeit: </w:t>
      </w:r>
      <w:r>
        <w:rPr>
          <w:sz w:val="19"/>
        </w:rPr>
        <w:t>Skandinavien, vergleichbare Intensivmedizin, Entschädigungssystem ohne Verschuldensnachweis</w:t>
      </w:r>
    </w:p>
    <w:p>
      <w:r>
        <w:rPr>
          <w:color w:val="5A7D3A"/>
          <w:sz w:val="18"/>
        </w:rPr>
        <w:t>https://pubmed.ncbi.nlm.nih.gov/42674465/</w:t>
      </w:r>
    </w:p>
    <w:p>
      <w:pPr>
        <w:pStyle w:val="Heading2"/>
      </w:pPr>
      <w:r>
        <w:t>Öffentliche Kampagnen verdreifachen Patientenbeschwerden über Sicherheitsmängel in Kroatien</w:t>
      </w:r>
    </w:p>
    <w:p>
      <w:r>
        <w:rPr>
          <w:i/>
          <w:color w:val="666666"/>
          <w:sz w:val="18"/>
        </w:rPr>
        <w:t>Krstulović J et al.  ·  Croat Med J  ·  31.08.2026  ·  PMID 42669912</w:t>
      </w:r>
    </w:p>
    <w:p>
      <w:r>
        <w:t>Retrospektive Analyse von 36 Patientenbeschwerden an ein Komitee zum Schutz von Patientenrechten (2022-2024) nach WHO-Patientensicherheitscharta klassifiziert; Auswirkung von Öffentlichkeitskampagnen auf Meldequoten evaluiert.</w:t>
      </w:r>
    </w:p>
    <w:p>
      <w:r>
        <w:rPr>
          <w:b/>
        </w:rPr>
        <w:t xml:space="preserve">Ergebnis: </w:t>
      </w:r>
      <w:r>
        <w:t>Nach Kampagnen zur Sensibilisierung (2023-2024) stieg die Zahl der codierten Charta-Verletzungen von 11 (2022) auf 36 (2024), monatliche Meldequoten verdreifachten sich (Ratenratio 3,3; 95 %-KI 1,7-6,4; p=0,001). Häufigste Verstöße: Recht auf zeitgerechte und angemessene Versorgung (38 %), Würde und Datenschutz (22 %), Akteneinsicht (12 %).</w:t>
      </w:r>
    </w:p>
    <w:p>
      <w:r>
        <w:rPr>
          <w:b/>
          <w:sz w:val="19"/>
        </w:rPr>
        <w:t xml:space="preserve">Übertragbarkeit: </w:t>
      </w:r>
      <w:r>
        <w:rPr>
          <w:sz w:val="19"/>
        </w:rPr>
        <w:t>Croatie, Transparenz und Patientenbeteiligung sind Länder-übergreifend relevant</w:t>
      </w:r>
    </w:p>
    <w:p>
      <w:r>
        <w:rPr>
          <w:color w:val="5A7D3A"/>
          <w:sz w:val="18"/>
        </w:rPr>
        <w:t>https://pubmed.ncbi.nlm.nih.gov/42669912/</w:t>
      </w:r>
    </w:p>
    <w:p>
      <w:pPr>
        <w:pStyle w:val="Heading2"/>
      </w:pPr>
      <w:r>
        <w:t>Procalcitonin ≥0,85 ng/mL unterscheidet Sepsis mit Blutkultur-Nachweis mit 84 % Spezifität</w:t>
      </w:r>
    </w:p>
    <w:p>
      <w:r>
        <w:rPr>
          <w:i/>
          <w:color w:val="666666"/>
          <w:sz w:val="18"/>
        </w:rPr>
        <w:t>Pozzessere P et al.  ·  Medicina (Kaunas)  ·  20.07.2026  ·  PMID 42512947</w:t>
      </w:r>
    </w:p>
    <w:p>
      <w:r>
        <w:t>Retrospektive Analyse von 912 Patienten mit Sepsis/septischem Schock in der Notaufnahme (März 2023-Dezember 2025); Blutkultur-Positivität und deren prognostische Bedeutung für 28-, 90- und 365-Tages-Überleben evaluiert.</w:t>
      </w:r>
    </w:p>
    <w:p>
      <w:r>
        <w:rPr>
          <w:b/>
        </w:rPr>
        <w:t xml:space="preserve">Ergebnis: </w:t>
      </w:r>
      <w:r>
        <w:t>602 Kulturen positiv, 310 negativ. Procalcitonin zeigte gute Diskriminierungsfähigkeit (AUC 0,785; Cutoff 0,85 ng/mL; Sensitivität 59,8 %, Spezifität 83,8 %). Kultur-positive Patienten hatten niedrigere Überlebensraten (28-Tage: 72,9 % vs. 85,9 %; 365-Tage: 44,3 % vs. 61,2 %), aber nach adjustierter Cox-Regression war Kultur-Positivität kein unabhängiger Prädiktor (HR 1,46; p=0,092); Alter und SOFA-Score blieben signifikant.</w:t>
      </w:r>
    </w:p>
    <w:p>
      <w:r>
        <w:rPr>
          <w:b/>
          <w:sz w:val="19"/>
        </w:rPr>
        <w:t xml:space="preserve">Übertragbarkeit: </w:t>
      </w:r>
      <w:r>
        <w:rPr>
          <w:sz w:val="19"/>
        </w:rPr>
        <w:t>Italien, Notfallmedizin mit Blutkulturstandard, europäisches System</w:t>
      </w:r>
    </w:p>
    <w:p>
      <w:r>
        <w:rPr>
          <w:color w:val="5A7D3A"/>
          <w:sz w:val="18"/>
        </w:rPr>
        <w:t>https://pubmed.ncbi.nlm.nih.gov/42512947/</w:t>
      </w:r>
    </w:p>
    <w:p>
      <w:pPr>
        <w:pStyle w:val="Heading1"/>
      </w:pPr>
      <w:r>
        <w:t>Aufgenommen am 02.09.2026</w:t>
      </w:r>
    </w:p>
    <w:p>
      <w:pPr>
        <w:pStyle w:val="Heading2"/>
      </w:pPr>
      <w:r>
        <w:t>Infektionsprävention: Mangelhafte Gesamtausstattung und Zeitdruck hindern Pflegekräfte an Einhaltung von COVID-19-Schutzmaßnahmen</w:t>
      </w:r>
    </w:p>
    <w:p>
      <w:r>
        <w:rPr>
          <w:i/>
          <w:color w:val="666666"/>
          <w:sz w:val="18"/>
        </w:rPr>
        <w:t>Houghton C et al.  ·  Cochrane Database Syst Rev  ·  01.09.2026  ·  PMID 42677895</w:t>
      </w:r>
    </w:p>
    <w:p>
      <w:r>
        <w:t>Systematischer Review mit qualitativer Evidenz-Synthese aus 26 Studien (davon 7 aus wohlhabenden Ländern) zu Faktoren, die Einhaltung von Infektionsschutzrichtlinien durch Fachpersonal beeinflussen.</w:t>
      </w:r>
    </w:p>
    <w:p>
      <w:r>
        <w:rPr>
          <w:b/>
        </w:rPr>
        <w:t xml:space="preserve">Ergebnis: </w:t>
      </w:r>
      <w:r>
        <w:t>Strukturierte Ergebnisse mit unterschiedlicher Konfidenz: Hohe Konfidenz (n=12 Befunde) – Managementunterstützung, klare Richtlinien-Kommunikation und Schulung fördern Einhaltung; Zeitdruck, Personalmangel und PPE-Mangel behindern sie. Mittlere Konfidenz (n=12), niedrige (n=3). 27 Faktoren insgesamt benannt.</w:t>
      </w:r>
    </w:p>
    <w:p>
      <w:r>
        <w:rPr>
          <w:b/>
          <w:sz w:val="19"/>
        </w:rPr>
        <w:t xml:space="preserve">Übertragbarkeit: </w:t>
      </w:r>
      <w:r>
        <w:rPr>
          <w:sz w:val="19"/>
        </w:rPr>
        <w:t>26 Studien mit globaler Abdeckung (Asien, Afrika, Europa); größtenteils 2020–2024 während Pandemie.</w:t>
      </w:r>
    </w:p>
    <w:p>
      <w:r>
        <w:rPr>
          <w:color w:val="5A7D3A"/>
          <w:sz w:val="18"/>
        </w:rPr>
        <w:t>https://pubmed.ncbi.nlm.nih.gov/42677895/</w:t>
      </w:r>
    </w:p>
    <w:p>
      <w:pPr>
        <w:pStyle w:val="Heading2"/>
      </w:pPr>
      <w:r>
        <w:t>Apotheker-Stewardship erhöht Antibiotika-Angemessenheit bei Kindern mit Pneumonie von 60% auf 87%</w:t>
      </w:r>
    </w:p>
    <w:p>
      <w:r>
        <w:rPr>
          <w:i/>
          <w:color w:val="666666"/>
          <w:sz w:val="18"/>
        </w:rPr>
        <w:t>Nguyen T et al.  ·  J Am Coll Clin Pharm  ·  Sept. 2026  ·  PMID 42676278</w:t>
      </w:r>
    </w:p>
    <w:p>
      <w:r>
        <w:t>Quasi-experimentelle Vorher-Nachher-Studie in Vietnam mit 560 Kindern (280 vor, 280 nach Intervention), die einen pharmazeutisch geleiteten Antibiotic-Stewardship-Einsatz mit Schulung und Audit evaluierte.</w:t>
      </w:r>
    </w:p>
    <w:p>
      <w:r>
        <w:rPr>
          <w:b/>
        </w:rPr>
        <w:t xml:space="preserve">Ergebnis: </w:t>
      </w:r>
      <w:r>
        <w:t>Gesamtangemessenheit stieg von 60,36% auf 86,79% (p&lt;0,001; Δ=26,4 Prozentpunkte). Dosierungs-Angemessenheit 67,14% → 90,71% (p&lt;0,001), Dosierungsintervall 90,36% → 98,57% (p&lt;0,001). Prädiktoren für unangemessene Verordnung vor Intervention: Alter &lt;12 Monate (OR 2,1, 95%-KI 1,3–3,5), Kombinationstherapie (OR 4,6, 95%-KI 1,75–12,1).</w:t>
      </w:r>
    </w:p>
    <w:p>
      <w:r>
        <w:rPr>
          <w:b/>
          <w:sz w:val="19"/>
        </w:rPr>
        <w:t xml:space="preserve">Übertragbarkeit: </w:t>
      </w:r>
      <w:r>
        <w:rPr>
          <w:sz w:val="19"/>
        </w:rPr>
        <w:t>Vietnam (Mittel-/Niedrigeinkommen-Land), struktur-kulturelle Unterschiede; Sicherheits-Intervention breit übertragbar.</w:t>
      </w:r>
    </w:p>
    <w:p>
      <w:r>
        <w:rPr>
          <w:color w:val="5A7D3A"/>
          <w:sz w:val="18"/>
        </w:rPr>
        <w:t>https://pubmed.ncbi.nlm.nih.gov/42676278/</w:t>
      </w:r>
    </w:p>
    <w:p>
      <w:pPr>
        <w:pStyle w:val="Heading2"/>
      </w:pPr>
      <w:r>
        <w:t>Multiresistente Klebsiella pneumoniae: Nosokomialer Infektionsanstieg in Polen um das 50-Fache</w:t>
      </w:r>
    </w:p>
    <w:p>
      <w:r>
        <w:rPr>
          <w:i/>
          <w:color w:val="666666"/>
          <w:sz w:val="18"/>
        </w:rPr>
        <w:t>Filipkowska M et al.  ·  Front Cell Infect Microbiol  ·  30.07.2026  ·  PMID 42597730</w:t>
      </w:r>
    </w:p>
    <w:p>
      <w:r>
        <w:t>Beobachtungsstudie mit Aggregatdaten aller polnischen ITS von 2019–2023, die Risikoänderungen für nosokomialen Infektionen mit Methicillin-resistenten und anderen multiresistenten Erregern mittels standardisierter Infektionsrate (SIR) evaluierte.</w:t>
      </w:r>
    </w:p>
    <w:p>
      <w:r>
        <w:rPr>
          <w:b/>
        </w:rPr>
        <w:t xml:space="preserve">Ergebnis: </w:t>
      </w:r>
      <w:r>
        <w:t>MBL/NDM-produzierende K. pneumoniae zeigten die stärkste Risikoerhöhung (SIR in Niederschlesien und Schlesien &gt;50×höher als 2019-Baseline); regionale Variation erheblich (p&lt;0,05). E. faecalis-VRE in Lublin mehrfach über Baseline; MRSA erhöht in Lublin, Subkarpaten, Schlesien.</w:t>
      </w:r>
    </w:p>
    <w:p>
      <w:r>
        <w:rPr>
          <w:b/>
          <w:sz w:val="19"/>
        </w:rPr>
        <w:t xml:space="preserve">Übertragbarkeit: </w:t>
      </w:r>
      <w:r>
        <w:rPr>
          <w:sz w:val="19"/>
        </w:rPr>
        <w:t>Polen, europa-nächst an Deutschland; öffentlicher Gesundheitsdienst und Meldepflichten ähnlich.</w:t>
      </w:r>
    </w:p>
    <w:p>
      <w:r>
        <w:rPr>
          <w:color w:val="5A7D3A"/>
          <w:sz w:val="18"/>
        </w:rPr>
        <w:t>https://pubmed.ncbi.nlm.nih.gov/42597730/</w:t>
      </w:r>
    </w:p>
    <w:p>
      <w:pPr>
        <w:pStyle w:val="Heading2"/>
      </w:pPr>
      <w:r>
        <w:t>Terminal-Komplement-Inhibition verstärkt Nierenversagen und Blutungsrisiko bei septischem Schock</w:t>
      </w:r>
    </w:p>
    <w:p>
      <w:r>
        <w:rPr>
          <w:i/>
          <w:color w:val="666666"/>
          <w:sz w:val="18"/>
        </w:rPr>
        <w:t>Vahldieck C et al.  ·  J Crit Care  ·  29.07.2026  ·  PMID 42526359</w:t>
      </w:r>
    </w:p>
    <w:p>
      <w:r>
        <w:t>Propensity-Score-adjustierte Kohorten-Studie mit 1.276 Patienten (638 per Arm) in separatem Matching, die C5-Inhibitoren (Eculizumab/Ravulizumab) bei septischem Schock bezüglich unerwünschter Ereignisse evaluierte.</w:t>
      </w:r>
    </w:p>
    <w:p>
      <w:r>
        <w:rPr>
          <w:b/>
        </w:rPr>
        <w:t xml:space="preserve">Ergebnis: </w:t>
      </w:r>
      <w:r>
        <w:t>Unter Komplement-Inhibition: Thrombozytopenie 20,3% vs. 8,9% (p&lt;0,001), akutes Nierenversagen 25,0% vs. 13,3% (p&lt;0,001), thrombotische Ereignisse 7,8% vs. 4,7% (p=0,021). Nierenersatztherapie 8,3% vs. 5,1% (p=0,026). 30-Tage-Mortalität ohne signifikanten Unterschied (nicht berichtet).</w:t>
      </w:r>
    </w:p>
    <w:p>
      <w:r>
        <w:rPr>
          <w:b/>
          <w:sz w:val="19"/>
        </w:rPr>
        <w:t xml:space="preserve">Übertragbarkeit: </w:t>
      </w:r>
      <w:r>
        <w:rPr>
          <w:sz w:val="19"/>
        </w:rPr>
        <w:t>USA-basiert (TriNetX-Netzwerk), Haftungsklima unterscheidet sich; nur Sicherheitsbefunde übertragbar.</w:t>
      </w:r>
    </w:p>
    <w:p>
      <w:r>
        <w:rPr>
          <w:color w:val="5A7D3A"/>
          <w:sz w:val="18"/>
        </w:rPr>
        <w:t>https://pubmed.ncbi.nlm.nih.gov/42526359/</w:t>
      </w:r>
    </w:p>
    <w:p>
      <w:pPr>
        <w:pStyle w:val="Heading2"/>
      </w:pPr>
      <w:r>
        <w:t>Potenziell unangemessene Verschreibungen bei Erwachsenen mittleren Alters erhöhen ambulante Inanspruchnahme um 3%</w:t>
      </w:r>
    </w:p>
    <w:p>
      <w:r>
        <w:rPr>
          <w:i/>
          <w:color w:val="666666"/>
          <w:sz w:val="18"/>
        </w:rPr>
        <w:t>Naughton M et al.  ·  BMJ Open  ·  27.07.2026  ·  PMID 42509012</w:t>
      </w:r>
    </w:p>
    <w:p>
      <w:r>
        <w:t>Prospektive Kohortenstudie in Großbritannien mit 1,2 Mio. Patienten, die prüfte, ob unangemessene Medikationen zu mehr Hausarzt-Kontakten und erhöhter Sterblichkeit führen.</w:t>
      </w:r>
    </w:p>
    <w:p>
      <w:r>
        <w:rPr>
          <w:b/>
        </w:rPr>
        <w:t xml:space="preserve">Ergebnis: </w:t>
      </w:r>
      <w:r>
        <w:t>13,9% der Patienten erhielten potenziell unangemessene Medikationen (PIP). Diese führten zu erhöhter ambulanter Inanspruchnahme im Folgejahr (IRR 1,03, 95%-KI 1,02–1,03; p &lt; 0,001), aber nicht zu erhöhter Sterblichkeit (HR 0,99, 95%-KI 0,93–1,04). Polypharmazie (≥10 Medikamente) war stärkster Risikofaktor für PIP (OR 6,93).</w:t>
      </w:r>
    </w:p>
    <w:p>
      <w:r>
        <w:rPr>
          <w:b/>
          <w:sz w:val="19"/>
        </w:rPr>
        <w:t xml:space="preserve">Übertragbarkeit: </w:t>
      </w:r>
      <w:r>
        <w:rPr>
          <w:sz w:val="19"/>
        </w:rPr>
        <w:t>Großbritannien mit vergleichbarem ambulanten System; deutsche Primärdaten begrenzt verfügbar.</w:t>
      </w:r>
    </w:p>
    <w:p>
      <w:r>
        <w:rPr>
          <w:color w:val="5A7D3A"/>
          <w:sz w:val="18"/>
        </w:rPr>
        <w:t>https://pubmed.ncbi.nlm.nih.gov/42509012/</w:t>
      </w:r>
    </w:p>
    <w:p>
      <w:pPr>
        <w:pStyle w:val="Heading2"/>
      </w:pPr>
      <w:r>
        <w:t>Digitales Entscheidungs-Werkzeug reduziert Antibiotika-Verordnungen in belgischen Praxen um 5%</w:t>
      </w:r>
    </w:p>
    <w:p>
      <w:r>
        <w:rPr>
          <w:i/>
          <w:color w:val="666666"/>
          <w:sz w:val="18"/>
        </w:rPr>
        <w:t>Verbakel JY et al.  ·  BMJ Open  ·  24.07.2026  ·  PMID 42498468</w:t>
      </w:r>
    </w:p>
    <w:p>
      <w:r>
        <w:t>Gestaffelte Cluster-RCT mit 36–48 belgischen Hausarztpraxen, die eine integrierte Entscheidungshilfe (PSS-Tool) zur Antibiotic-Stewardship mit Arzneiempfehlungen testete.</w:t>
      </w:r>
    </w:p>
    <w:p>
      <w:r>
        <w:rPr>
          <w:b/>
        </w:rPr>
        <w:t xml:space="preserve">Ergebnis: </w:t>
      </w:r>
      <w:r>
        <w:t>Zielparameter ist die Reduzierung der Antibiotika-Verordnungsrate um mindestens 5% (Baseline: absolute Häufigkeit nicht berichtet). 80% Teststärke mit n=36–48 Praxen geplant. Prozess-Evaluierung kombiniert Nutzungsdaten und qualitative Interviews. Ethik-Approval: 10.10.2025; Registrierung NCT07347015.</w:t>
      </w:r>
    </w:p>
    <w:p>
      <w:r>
        <w:rPr>
          <w:b/>
          <w:sz w:val="19"/>
        </w:rPr>
        <w:t xml:space="preserve">Übertragbarkeit: </w:t>
      </w:r>
      <w:r>
        <w:rPr>
          <w:sz w:val="19"/>
        </w:rPr>
        <w:t>Belgien, ähnliche EU-Struktur, vergleichbare Primärversorgung mit Deutschland.</w:t>
      </w:r>
    </w:p>
    <w:p>
      <w:r>
        <w:rPr>
          <w:color w:val="5A7D3A"/>
          <w:sz w:val="18"/>
        </w:rPr>
        <w:t>https://pubmed.ncbi.nlm.nih.gov/42498468/</w:t>
      </w:r>
    </w:p>
    <w:p>
      <w:pPr>
        <w:pStyle w:val="Heading1"/>
      </w:pPr>
      <w:r>
        <w:t>Aufgenommen am 01.09.2026</w:t>
      </w:r>
    </w:p>
    <w:p>
      <w:pPr>
        <w:pStyle w:val="Heading2"/>
      </w:pPr>
      <w:r>
        <w:t>Probiotika halbierten ventilatorassoziierte Pneumonie bei kritisch kranken Kindern</w:t>
      </w:r>
    </w:p>
    <w:p>
      <w:r>
        <w:rPr>
          <w:i/>
          <w:color w:val="666666"/>
          <w:sz w:val="18"/>
        </w:rPr>
        <w:t>Tiwari SK et al.  ·  J Trop Pediatr  ·  20.08.2026  ·  PMID 42674774</w:t>
      </w:r>
    </w:p>
    <w:p>
      <w:r>
        <w:t>Systematische Übersicht und Metaanalyse von acht randomisierten Studien zu Probiotika bei kritisch kranken Kindern auf Intensivstationen, mit Fokus auf Pneumonie, Sterblichkeit und Liegedauer.</w:t>
      </w:r>
    </w:p>
    <w:p>
      <w:r>
        <w:rPr>
          <w:b/>
        </w:rPr>
        <w:t xml:space="preserve">Ergebnis: </w:t>
      </w:r>
      <w:r>
        <w:t>Probiotika reduzierten ventilatorassoziierte Pneumonie signifikant (RR 0,47; 95%-KI 0,35–0,64; p&lt;0,0001; hohe Evidenzsicherheit, absolute Risikoreduktion 21,9 %, Number needed to treat ≈5); kein Effekt auf Sterblichkeit (RR 0,85; 95%-KI 0,66–1,11; p=0,24) oder Liegedauer. Keine schwerwiegenden unerwünschten Ereignisse.</w:t>
      </w:r>
    </w:p>
    <w:p>
      <w:r>
        <w:rPr>
          <w:b/>
          <w:sz w:val="19"/>
        </w:rPr>
        <w:t xml:space="preserve">Übertragbarkeit: </w:t>
      </w:r>
      <w:r>
        <w:rPr>
          <w:sz w:val="19"/>
        </w:rPr>
        <w:t>International, 744 Kinder in acht RCTs; Mechanismus und Sicherheit sind übertragbar</w:t>
      </w:r>
    </w:p>
    <w:p>
      <w:r>
        <w:rPr>
          <w:color w:val="5A7D3A"/>
          <w:sz w:val="18"/>
        </w:rPr>
        <w:t>https://pubmed.ncbi.nlm.nih.gov/42674774/</w:t>
      </w:r>
    </w:p>
    <w:p>
      <w:pPr>
        <w:pStyle w:val="Heading2"/>
      </w:pPr>
      <w:r>
        <w:t>Duty of Candour schafft Vertrauen nur bei echter Empathie und Aufarbeitung</w:t>
      </w:r>
    </w:p>
    <w:p>
      <w:r>
        <w:rPr>
          <w:i/>
          <w:color w:val="666666"/>
          <w:sz w:val="18"/>
        </w:rPr>
        <w:t>Adams C et al.  ·  Health Expect  ·  Okt. 2026  ·  PMID 42670882</w:t>
      </w:r>
    </w:p>
    <w:p>
      <w:r>
        <w:t>Qualitative und quantitative Studie mit 80 australischen Patienten zu Wirkung und Verständnis der gesetzlichen Aufklärungspflicht nach schweren Sicherheitsereignissen (Statutory Duty of Candour), zwei Jahre nach Einführung in Victoria.</w:t>
      </w:r>
    </w:p>
    <w:p>
      <w:r>
        <w:rPr>
          <w:b/>
        </w:rPr>
        <w:t xml:space="preserve">Ergebnis: </w:t>
      </w:r>
      <w:r>
        <w:t>61 % ohne Vorwissen zur SDC; 78 % bewerteten sie als nützlich. Unter denen mit Ereignis berichteten über die Hälfte mangelnde Offenheit, über die Hälfte keine Nachbesprechung; Zufriedenheit mit Gesprächen nur 26 %. Sechs Themen: Candour als moralischer Halt, anhaltende Skepsis, begrenzte Zugänglichkeit, echte Entschuldigung als Vertrauensreparatur, emotionale Belastung und Organisationslernefähigkeit.</w:t>
      </w:r>
    </w:p>
    <w:p>
      <w:r>
        <w:rPr>
          <w:b/>
          <w:sz w:val="19"/>
        </w:rPr>
        <w:t xml:space="preserve">Übertragbarkeit: </w:t>
      </w:r>
      <w:r>
        <w:rPr>
          <w:sz w:val="19"/>
        </w:rPr>
        <w:t>Australien/Vereinigtes Königreich, andere Haftungsordnung, ggf. Transferlimits bei deutschem ärztlichem Haftungsrecht</w:t>
      </w:r>
    </w:p>
    <w:p>
      <w:r>
        <w:rPr>
          <w:color w:val="5A7D3A"/>
          <w:sz w:val="18"/>
        </w:rPr>
        <w:t>https://pubmed.ncbi.nlm.nih.gov/42670882/</w:t>
      </w:r>
    </w:p>
    <w:p>
      <w:pPr>
        <w:pStyle w:val="Heading2"/>
      </w:pPr>
      <w:r>
        <w:t>Urbanisierungsgerechte Risikoanpassung verbessert Reanimationsergebnisse deutschlandweit</w:t>
      </w:r>
    </w:p>
    <w:p>
      <w:r>
        <w:rPr>
          <w:i/>
          <w:color w:val="666666"/>
          <w:sz w:val="18"/>
        </w:rPr>
        <w:t>Lee D et al.  ·  BMC Emerg Med  ·  10.08.2026  ·  PMID 42587273</w:t>
      </w:r>
    </w:p>
    <w:p>
      <w:r>
        <w:t>Deutsche Registerstudie zur Kalibrierung von Risikoanpassungsmodellen für Rückkehr zur Spontanzirkulation (ROSC) nach präklinischem Herzstillstand, unter Berücksichtigung von Urbanisierungsgrad.</w:t>
      </w:r>
    </w:p>
    <w:p>
      <w:r>
        <w:rPr>
          <w:b/>
        </w:rPr>
        <w:t xml:space="preserve">Ergebnis: </w:t>
      </w:r>
      <w:r>
        <w:t>Beim refittierten RACA-Modell zeigte sich Fehlkalibrierung nach Urbanisierung: Überschätzung in ländlichen Gebieten, Unterschätzung in Metropolen und Großstädten. Das neue URACA-Modell hob diese Verzerrungen auf, ohne Diskriminationsfähigkeit einzubußen (AUROC 0,735 vs. 0,737; kontinuierliche Netzreklassifizierung 9,4 %).</w:t>
      </w:r>
    </w:p>
    <w:p>
      <w:r>
        <w:rPr>
          <w:b/>
          <w:sz w:val="19"/>
        </w:rPr>
        <w:t xml:space="preserve">Übertragbarkeit: </w:t>
      </w:r>
      <w:r>
        <w:rPr>
          <w:sz w:val="19"/>
        </w:rPr>
        <w:t>Deutschland, 145.780 Patienten aus Deutschem Reanimations-Register 2014–2023</w:t>
      </w:r>
    </w:p>
    <w:p>
      <w:r>
        <w:rPr>
          <w:color w:val="5A7D3A"/>
          <w:sz w:val="18"/>
        </w:rPr>
        <w:t>https://pubmed.ncbi.nlm.nih.gov/42587273/</w:t>
      </w:r>
    </w:p>
    <w:p>
      <w:pPr>
        <w:pStyle w:val="Heading2"/>
      </w:pPr>
      <w:r>
        <w:t>Patientenerfahrung und Sicherheit bleiben in Studien unverbunden</w:t>
      </w:r>
    </w:p>
    <w:p>
      <w:r>
        <w:rPr>
          <w:i/>
          <w:color w:val="666666"/>
          <w:sz w:val="18"/>
        </w:rPr>
        <w:t>King J et al.  ·  BMJ Open Qual  ·  03.08.2026  ·  PMID 42547244</w:t>
      </w:r>
    </w:p>
    <w:p>
      <w:r>
        <w:t>Systematische Übersicht über 30 Studien zum Zusammenhang zwischen Patientenerlebnis und Patientensicherheit, mit Cochrane-Qualitätsbewertung und GRADE-Evidenzgraduierung.</w:t>
      </w:r>
    </w:p>
    <w:p>
      <w:r>
        <w:rPr>
          <w:b/>
        </w:rPr>
        <w:t xml:space="preserve">Ergebnis: </w:t>
      </w:r>
      <w:r>
        <w:t>Heterogene Evidenz: 7 Studien zeigten konsistente positive Assoziationen, 6 keine Assoziation, 17 gemischte Befunde je nach Sicherheitsmaßstab. Kausale Richtung unklar; Forschungslücken in primärer und psychiatrischer Versorgung sowie zu Themen wie Zeitnaher Zugang und Angehörigenbeteiligung.</w:t>
      </w:r>
    </w:p>
    <w:p>
      <w:r>
        <w:rPr>
          <w:b/>
          <w:sz w:val="19"/>
        </w:rPr>
        <w:t xml:space="preserve">Übertragbarkeit: </w:t>
      </w:r>
      <w:r>
        <w:rPr>
          <w:sz w:val="19"/>
        </w:rPr>
        <w:t>Internationale Perspektive, Primärforschung überwiegend aus angelsächsischen Ländern</w:t>
      </w:r>
    </w:p>
    <w:p>
      <w:r>
        <w:rPr>
          <w:color w:val="5A7D3A"/>
          <w:sz w:val="18"/>
        </w:rPr>
        <w:t>https://pubmed.ncbi.nlm.nih.gov/42547244/</w:t>
      </w:r>
    </w:p>
    <w:p>
      <w:pPr>
        <w:pStyle w:val="Heading2"/>
      </w:pPr>
      <w:r>
        <w:t>Ärztliche Mikrobiologie als Stewardship-Partner senkt Antibiotikafehlgebrauch</w:t>
      </w:r>
    </w:p>
    <w:p>
      <w:r>
        <w:rPr>
          <w:i/>
          <w:color w:val="666666"/>
          <w:sz w:val="18"/>
        </w:rPr>
        <w:t>Nilsen E  ·  APMIS  ·  Aug. 2026  ·  PMID 42522544</w:t>
      </w:r>
    </w:p>
    <w:p>
      <w:r>
        <w:t>Norwegische Klinikstudie zur Wahrnehmung ärztlicher Beratung durch klinische Mikrobiologinnen und Mikrobiologen in der Infektionsbehandlung.</w:t>
      </w:r>
    </w:p>
    <w:p>
      <w:r>
        <w:rPr>
          <w:b/>
        </w:rPr>
        <w:t xml:space="preserve">Ergebnis: </w:t>
      </w:r>
      <w:r>
        <w:t>90,7 % der infektionsbehandelnden Ärztinnen und Ärzte (n=228) bewerteten mikrobiologe Stewardship als hochgradig wertvoll; 88,8 % berichteten bessere Antibiotikaverwendung, 87,0 % schnellere oder sicherere klinische Entscheidungen; 97,7 % befürworteten eine aktivere klinische Beratungsrolle von Fachärztinnen und Fachärzten für Mikrobiologie.</w:t>
      </w:r>
    </w:p>
    <w:p>
      <w:r>
        <w:rPr>
          <w:b/>
          <w:sz w:val="19"/>
        </w:rPr>
        <w:t xml:space="preserve">Übertragbarkeit: </w:t>
      </w:r>
      <w:r>
        <w:rPr>
          <w:sz w:val="19"/>
        </w:rPr>
        <w:t>Skandinavien, vergleichbare Infektionsbehandlung in Akutkrankenhäusern</w:t>
      </w:r>
    </w:p>
    <w:p>
      <w:r>
        <w:rPr>
          <w:color w:val="5A7D3A"/>
          <w:sz w:val="18"/>
        </w:rPr>
        <w:t>https://pubmed.ncbi.nlm.nih.gov/42522544/</w:t>
      </w:r>
    </w:p>
    <w:p>
      <w:pPr>
        <w:pStyle w:val="Heading2"/>
      </w:pPr>
      <w:r>
        <w:t>Schülerfehler im klinischen Unterricht: häufige Gelegenheiten mit geringem Lernertrag</w:t>
      </w:r>
    </w:p>
    <w:p>
      <w:r>
        <w:rPr>
          <w:i/>
          <w:color w:val="666666"/>
          <w:sz w:val="18"/>
        </w:rPr>
        <w:t>Rubisch HPK et al.  ·  BMC Med Educ  ·  28.07.2026  ·  PMID 42522036</w:t>
      </w:r>
    </w:p>
    <w:p>
      <w:r>
        <w:t>Beobachtungsstudie zu Lernfehlern bei Bettunterricht auf Stationen in Innerer Medizin, Neurologie und Orthopädie, gemessen an Häufigkeit, Typ und Lehrreaktionen.</w:t>
      </w:r>
    </w:p>
    <w:p>
      <w:r>
        <w:rPr>
          <w:b/>
        </w:rPr>
        <w:t xml:space="preserve">Ergebnis: </w:t>
      </w:r>
      <w:r>
        <w:t>Im Schnitt 4,9 Fehler pro Stunde Unterricht; Reproduktionsfehler überwiegend bei theoretischem Wissen und klinischem Denken, Anwendungsfehler bei körperlicher Untersuchung. Nur 72 % der praktischen Untersuchungszeit war beaufsichtigt; Lehrreaktionen (Erklärungstiefe, Feedback-Direktheit) unterschieden sich nicht signifikant mit oder ohne Patientenpräsenz.</w:t>
      </w:r>
    </w:p>
    <w:p>
      <w:r>
        <w:rPr>
          <w:b/>
          <w:sz w:val="19"/>
        </w:rPr>
        <w:t xml:space="preserve">Übertragbarkeit: </w:t>
      </w:r>
      <w:r>
        <w:rPr>
          <w:sz w:val="19"/>
        </w:rPr>
        <w:t>Deutschland, 36 Bettunterricht-Sitzungen (78,4 h) an deutschem Universitätsklinikum</w:t>
      </w:r>
    </w:p>
    <w:p>
      <w:r>
        <w:rPr>
          <w:color w:val="5A7D3A"/>
          <w:sz w:val="18"/>
        </w:rPr>
        <w:t>https://pubmed.ncbi.nlm.nih.gov/42522036/</w:t>
      </w:r>
    </w:p>
    <w:p>
      <w:pPr>
        <w:pStyle w:val="Heading1"/>
      </w:pPr>
      <w:r>
        <w:t>Aufgenommen am 31.08.2026</w:t>
      </w:r>
    </w:p>
    <w:p>
      <w:pPr>
        <w:pStyle w:val="Heading2"/>
      </w:pPr>
      <w:r>
        <w:t>Klinischer Apotheker reduzierte Arzneimittel-Probleme in Ambulanzrezepten um 43 Prozentpunkte</w:t>
      </w:r>
    </w:p>
    <w:p>
      <w:r>
        <w:rPr>
          <w:i/>
          <w:color w:val="666666"/>
          <w:sz w:val="18"/>
        </w:rPr>
        <w:t>Le TT et al.  ·  J Am Coll Clin Pharm  ·  Sept. 2026  ·  PMID 42669613</w:t>
      </w:r>
    </w:p>
    <w:p>
      <w:r>
        <w:t>Vietnamesische quasi-experimentelle Studie eines multifaktoriellen Apotheker-Interventionsprogramms (prospektive Rezeptüberprüfung, Feedback, Schulung) mit Vorher-Nachher-Analyse in Tertiärklinik.</w:t>
      </w:r>
    </w:p>
    <w:p>
      <w:r>
        <w:rPr>
          <w:b/>
        </w:rPr>
        <w:t xml:space="preserve">Ergebnis: </w:t>
      </w:r>
      <w:r>
        <w:t>Rezepte mit mindestens einem Arzneimittelproblem sank von 65,7 % auf 37,3 % (p&lt;0,001); mittlere Probleme pro Rezept von 1,22 auf 0,55 (p&lt;0,001). Potentiell schädliche Arzneimittelprobleme sanken von 2,4 % auf 1,7 % (p=0,04). Hauptreduktionen bei Dosis- und Einnahmezeitproblemen. Angepasste Odds Ratio 0,29 (95%-KI 0,26–0,32).</w:t>
      </w:r>
    </w:p>
    <w:p>
      <w:r>
        <w:rPr>
          <w:b/>
          <w:sz w:val="19"/>
        </w:rPr>
        <w:t xml:space="preserve">Übertragbarkeit: </w:t>
      </w:r>
      <w:r>
        <w:rPr>
          <w:sz w:val="19"/>
        </w:rPr>
        <w:t>Vietnam; Modell auf deutsches Krankenhaus-Ambulanzmanagement und Praxen übertragbar</w:t>
      </w:r>
    </w:p>
    <w:p>
      <w:r>
        <w:rPr>
          <w:color w:val="5A7D3A"/>
          <w:sz w:val="18"/>
        </w:rPr>
        <w:t>https://pubmed.ncbi.nlm.nih.gov/42669613/</w:t>
      </w:r>
    </w:p>
    <w:p>
      <w:pPr>
        <w:pStyle w:val="Heading2"/>
      </w:pPr>
      <w:r>
        <w:t>Strukturierte Apotheker-Intervention mit Workflow-Prompts senkte Piperacillin/Tazobactam-Gebrauch um 22 %</w:t>
      </w:r>
    </w:p>
    <w:p>
      <w:r>
        <w:rPr>
          <w:i/>
          <w:color w:val="666666"/>
          <w:sz w:val="18"/>
        </w:rPr>
        <w:t>Masuda K et al.  ·  Korean J Med Educ  ·  31.08.2026  ·  PMID 42669608</w:t>
      </w:r>
    </w:p>
    <w:p>
      <w:r>
        <w:t>Japanische retrospektive Vorher-Nachher-Studie einer Apotheker-geleiteten Schulungsintervention mit verhaltenspsychologischen Prinzipien zur Beeinflussung der Antibiotikaverordnung.</w:t>
      </w:r>
    </w:p>
    <w:p>
      <w:r>
        <w:rPr>
          <w:b/>
        </w:rPr>
        <w:t xml:space="preserve">Ergebnis: </w:t>
      </w:r>
      <w:r>
        <w:t>Piperacillin/Tazobactam-Gebrauch sank um 22,3 % in Days of Therapy (DOT) und zeigt konsistente Reduktionen bei saisonalen Vergleichen. Antibiotic Use Density (AUD) sank parallel. Alle Ärzte absolvierten Schulungsvideo und Nach-Test. Workflow-integrierte Reflexions-Prompts bei jedem Verordnen zeigten Wirkung.</w:t>
      </w:r>
    </w:p>
    <w:p>
      <w:r>
        <w:rPr>
          <w:b/>
          <w:sz w:val="19"/>
        </w:rPr>
        <w:t xml:space="preserve">Übertragbarkeit: </w:t>
      </w:r>
      <w:r>
        <w:rPr>
          <w:sz w:val="19"/>
        </w:rPr>
        <w:t>Japan, beobachtet auch in Deutschland (Antibiotic Stewardship), auf Praxen übertragbar</w:t>
      </w:r>
    </w:p>
    <w:p>
      <w:r>
        <w:rPr>
          <w:color w:val="5A7D3A"/>
          <w:sz w:val="18"/>
        </w:rPr>
        <w:t>https://pubmed.ncbi.nlm.nih.gov/42669608/</w:t>
      </w:r>
    </w:p>
    <w:p>
      <w:pPr>
        <w:pStyle w:val="Heading2"/>
      </w:pPr>
      <w:r>
        <w:t>DBS-Screening erfasst 56 % aller HCV-Infektionen, vermisst aber 2,7 % durch niedrige Viruslast</w:t>
      </w:r>
    </w:p>
    <w:p>
      <w:r>
        <w:rPr>
          <w:i/>
          <w:color w:val="666666"/>
          <w:sz w:val="18"/>
        </w:rPr>
        <w:t>Capelli N et al.  ·  Liver Int  ·  Okt. 2026  ·  PMID 42661472</w:t>
      </w:r>
    </w:p>
    <w:p>
      <w:r>
        <w:t>Fünfjährige Evaluierung von Hepatitis-C-Blutfleck-Screening in französischen Schadensreduktionszentren mit vergleichender Analyse zu Plasma-RNA-Konzentrationen.</w:t>
      </w:r>
    </w:p>
    <w:p>
      <w:r>
        <w:rPr>
          <w:b/>
        </w:rPr>
        <w:t xml:space="preserve">Ergebnis: </w:t>
      </w:r>
      <w:r>
        <w:t>Unter 1.552 gescreenten Personen wurden 428 (27,6 %) als HCV-RNA-positiv identifiziert. Etwa 2,7 % der Infektionen (ca. 12 Fälle) wurden aufgrund der Nachweisgrenze von 1.252 IU/mL vermisst. DBS-Tests machten 56,4 % aller laborgestützten HCV-Diagnosen aus. Die modeste Reduktion der analytischen Sensitivität wird durch den deutlich erhöhten Zugang in unterversorgten Populationen aufgewogen.</w:t>
      </w:r>
    </w:p>
    <w:p>
      <w:r>
        <w:rPr>
          <w:b/>
          <w:sz w:val="19"/>
        </w:rPr>
        <w:t xml:space="preserve">Übertragbarkeit: </w:t>
      </w:r>
      <w:r>
        <w:rPr>
          <w:sz w:val="19"/>
        </w:rPr>
        <w:t>Frankreich, dezentrale Diagnostik; Ansatz auf vulnerable Gruppen übertragbar</w:t>
      </w:r>
    </w:p>
    <w:p>
      <w:r>
        <w:rPr>
          <w:color w:val="5A7D3A"/>
          <w:sz w:val="18"/>
        </w:rPr>
        <w:t>https://pubmed.ncbi.nlm.nih.gov/42661472/</w:t>
      </w:r>
    </w:p>
    <w:p>
      <w:pPr>
        <w:pStyle w:val="Heading2"/>
      </w:pPr>
      <w:r>
        <w:t>Penicilline bei vancomycin-sensiblen Enterococcus-Bakteriämien: effektiv, aber keine Überlegenheit ohne Fokuskontrolle</w:t>
      </w:r>
    </w:p>
    <w:p>
      <w:r>
        <w:rPr>
          <w:i/>
          <w:color w:val="666666"/>
          <w:sz w:val="18"/>
        </w:rPr>
        <w:t>Landrock T et al.  ·  Transbound Emerg Dis  ·  2026  ·  PMID 42661338</w:t>
      </w:r>
    </w:p>
    <w:p>
      <w:r>
        <w:t>Retrospektive deutsche Kohortenstudie an 127 Patienten mit Enterococcus-Bakteriämie, Vergleich Penicillin-basierte versus alternative Therapien.</w:t>
      </w:r>
    </w:p>
    <w:p>
      <w:r>
        <w:rPr>
          <w:b/>
        </w:rPr>
        <w:t xml:space="preserve">Ergebnis: </w:t>
      </w:r>
      <w:r>
        <w:t>30-Tage-Mortalität: Penicilline 13,4 % vs. Alternativen 40 % (p=0,001); mediane Hospitalsdauer 21 vs. 35 Tage. Bei multivariater Analyse mit Propensity Scores war nur septischer Schock (aOR 23,53) unabhängig mit Sterblichkeit assoziiert, nicht die Therapieklasse. Keine Unterschiede bei Rezidivbakteriämie oder Nebenwirkungen.</w:t>
      </w:r>
    </w:p>
    <w:p>
      <w:r>
        <w:rPr>
          <w:b/>
          <w:sz w:val="19"/>
        </w:rPr>
        <w:t xml:space="preserve">Übertragbarkeit: </w:t>
      </w:r>
      <w:r>
        <w:rPr>
          <w:sz w:val="19"/>
        </w:rPr>
        <w:t>Deutschland/Österreich, direkt auf Krankenhausinfektion anwendbar</w:t>
      </w:r>
    </w:p>
    <w:p>
      <w:r>
        <w:rPr>
          <w:color w:val="5A7D3A"/>
          <w:sz w:val="18"/>
        </w:rPr>
        <w:t>https://pubmed.ncbi.nlm.nih.gov/42661338/</w:t>
      </w:r>
    </w:p>
    <w:p>
      <w:pPr>
        <w:pStyle w:val="Heading2"/>
      </w:pPr>
      <w:r>
        <w:t>Netzwerk-gestützte Sentinelüberwachung erkannte Clostridioides difficile 27 % schneller mit nur 15 % Sequenzierung</w:t>
      </w:r>
    </w:p>
    <w:p>
      <w:r>
        <w:rPr>
          <w:i/>
          <w:color w:val="666666"/>
          <w:sz w:val="18"/>
        </w:rPr>
        <w:t>Pople D et al.  ·  Nat Commun  ·  26.08.2026  ·  PMID 42649138</w:t>
      </w:r>
    </w:p>
    <w:p>
      <w:r>
        <w:t>Englische Studie mit Netzwerkanalyse zur optimalen Auswahl von Sentinel-Laboratorien für Whole-Genome-Sequenzierung nosokomialer Infektionen bei limitierter Sequenzierungskapazität.</w:t>
      </w:r>
    </w:p>
    <w:p>
      <w:r>
        <w:rPr>
          <w:b/>
        </w:rPr>
        <w:t xml:space="preserve">Ergebnis: </w:t>
      </w:r>
      <w:r>
        <w:t>Algorithmisch optimierte Sentinelstandorte erkennen neuartige C.-difficile-Stämme 27 % schneller als Zufallsauswahl (Median ~3 statt 4 Wochen), während nur &lt;15 % aller Fälle sequenziert werden. Sensitivitäts- und Szenario-Analysen bestätigten robuste epidemiologische Performance über verschiedene Pfadogeneigenschaften hinweg.</w:t>
      </w:r>
    </w:p>
    <w:p>
      <w:r>
        <w:rPr>
          <w:b/>
          <w:sz w:val="19"/>
        </w:rPr>
        <w:t xml:space="preserve">Übertragbarkeit: </w:t>
      </w:r>
      <w:r>
        <w:rPr>
          <w:sz w:val="19"/>
        </w:rPr>
        <w:t>Großbritannien, übertragbar auf deutsche KRINKO-gestützte Sentinel-Überwachung</w:t>
      </w:r>
    </w:p>
    <w:p>
      <w:r>
        <w:rPr>
          <w:color w:val="5A7D3A"/>
          <w:sz w:val="18"/>
        </w:rPr>
        <w:t>https://pubmed.ncbi.nlm.nih.gov/42649138/</w:t>
      </w:r>
    </w:p>
    <w:p>
      <w:pPr>
        <w:pStyle w:val="Heading2"/>
      </w:pPr>
      <w:r>
        <w:t>Delphi-Konsens: Prävention und Management iatrogener Nebenwirkungen von Immunglobulin-Therapie</w:t>
      </w:r>
    </w:p>
    <w:p>
      <w:r>
        <w:rPr>
          <w:i/>
          <w:color w:val="666666"/>
          <w:sz w:val="18"/>
        </w:rPr>
        <w:t>Ferranti-Ramos A et al.  ·  Front Immunol  ·  06.08.2026  ·  PMID 42625714</w:t>
      </w:r>
    </w:p>
    <w:p>
      <w:r>
        <w:t>Spanischer Expertenkonsens mit modifiziertem Delphi-Verfahren zur Standardisierung von Sicherheitsmaßnahmen bei Immunglobulin-Gaben in primären und sekundären Immundefekten.</w:t>
      </w:r>
    </w:p>
    <w:p>
      <w:r>
        <w:rPr>
          <w:b/>
        </w:rPr>
        <w:t xml:space="preserve">Ergebnis: </w:t>
      </w:r>
      <w:r>
        <w:t>42 von 44 Empfehlungen erreichten ≥75 % Konsens. Hochgradige Einigkeit zu individualisierter Risikoabwägung, Infusionsraten-Anpassung und frühes Nebenwirkungsmanagement. Subkutane Immunglobuline (SCIG) zeigten weniger systemische Reaktionen als intravenös. Serielle Anti-IgA-Tests nur bei selektierten Hochrisikopatienten nötig. Prämediktion nur bei ausgewählten Hochrisikogruppen.</w:t>
      </w:r>
    </w:p>
    <w:p>
      <w:r>
        <w:rPr>
          <w:b/>
          <w:sz w:val="19"/>
        </w:rPr>
        <w:t xml:space="preserve">Übertragbarkeit: </w:t>
      </w:r>
      <w:r>
        <w:rPr>
          <w:sz w:val="19"/>
        </w:rPr>
        <w:t>Spanien; europäisches System, auf deutsches Versicherungswesen übertragbar</w:t>
      </w:r>
    </w:p>
    <w:p>
      <w:r>
        <w:rPr>
          <w:color w:val="5A7D3A"/>
          <w:sz w:val="18"/>
        </w:rPr>
        <w:t>https://pubmed.ncbi.nlm.nih.gov/42625714/</w:t>
      </w:r>
    </w:p>
    <w:p>
      <w:pPr>
        <w:pStyle w:val="Heading2"/>
      </w:pPr>
      <w:r>
        <w:t>MT-RNR1-Testung vor Aminoglykosiden verhindert irreversible Hörstörungen, kosteneffektiv in Neonatensepsis</w:t>
      </w:r>
    </w:p>
    <w:p>
      <w:r>
        <w:rPr>
          <w:i/>
          <w:color w:val="666666"/>
          <w:sz w:val="18"/>
        </w:rPr>
        <w:t>McDermott JH et al.  ·  Br J Clin Pharmacol  ·  29.07.2026  ·  PMID 42524757</w:t>
      </w:r>
    </w:p>
    <w:p>
      <w:r>
        <w:t>Britische Richtlinie zum Einsatz präventiver Pharmacogenomics-Tests für Aminoglykosid-induzierte Ototoxizität anhand von Mitochondrial-DNA-Varianten, basierend auf systematischer Literaturanalyse.</w:t>
      </w:r>
    </w:p>
    <w:p>
      <w:r>
        <w:rPr>
          <w:b/>
        </w:rPr>
        <w:t xml:space="preserve">Ergebnis: </w:t>
      </w:r>
      <w:r>
        <w:t>Drei MT-RNR1-Varianten (m.1555A&gt;G, m.1494C&gt;T, m.1095T&gt;C; Frequenz ~1:330) prädisponieren zu irreversibler Hörschädigung auch bei therapeutischen Dosen. Im Englischen Nationalen Gesundheitssystem ist Labor-basierte Testung finanziert; Point-of-Care-Tests in Neonatensepsis werden durchgeführt und sind frühen Health-Economic-Modellen zufolge kostenersparend. Ca. 20 % des Aminoglykosidgebrauchs ist vorhersehbar und testbar.</w:t>
      </w:r>
    </w:p>
    <w:p>
      <w:r>
        <w:rPr>
          <w:b/>
          <w:sz w:val="19"/>
        </w:rPr>
        <w:t xml:space="preserve">Übertragbarkeit: </w:t>
      </w:r>
      <w:r>
        <w:rPr>
          <w:sz w:val="19"/>
        </w:rPr>
        <w:t>Großbritannien, Mitochondrial-DNA-Testung auf Deutschland übertragbar, Kosten-Nutzen-Analyse erforderlich</w:t>
      </w:r>
    </w:p>
    <w:p>
      <w:r>
        <w:rPr>
          <w:color w:val="5A7D3A"/>
          <w:sz w:val="18"/>
        </w:rPr>
        <w:t>https://pubmed.ncbi.nlm.nih.gov/42524757/</w:t>
      </w:r>
    </w:p>
    <w:p>
      <w:pPr>
        <w:pStyle w:val="Heading1"/>
      </w:pPr>
      <w:r>
        <w:t>Aufgenommen am 30.08.2026</w:t>
      </w:r>
    </w:p>
    <w:p>
      <w:pPr>
        <w:pStyle w:val="Heading2"/>
      </w:pPr>
      <w:r>
        <w:t>Adaptive Führung sichert Patientensicherheit in Intensivstationen unter Druck</w:t>
      </w:r>
    </w:p>
    <w:p>
      <w:r>
        <w:rPr>
          <w:i/>
          <w:color w:val="666666"/>
          <w:sz w:val="18"/>
        </w:rPr>
        <w:t>Berggren K et al.  ·  J Nurs Manag  ·  2026  ·  PMID 42667115</w:t>
      </w:r>
    </w:p>
    <w:p>
      <w:r>
        <w:t>Qualitative Studie mit 15 ICU-Managern aus Schweden zur Frage, wie Führungskräfte unter COVID-19 organisatorische Bedingungen für Patientensicherheit schufen.</w:t>
      </w:r>
    </w:p>
    <w:p>
      <w:r>
        <w:rPr>
          <w:b/>
        </w:rPr>
        <w:t xml:space="preserve">Ergebnis: </w:t>
      </w:r>
      <w:r>
        <w:t>Manager balancierten Ressourcenmangel, Arbeitsbelastung und Mitarbeiterschutz durch adaptive Führung mit Flexibilität, kontinuierlichem Lernen und gegenseitigem Vertrauen. Diese Faktoren ermöglichten Risikoerkennung und Sicherheit trotz Druck.</w:t>
      </w:r>
    </w:p>
    <w:p>
      <w:r>
        <w:rPr>
          <w:b/>
          <w:sz w:val="19"/>
        </w:rPr>
        <w:t xml:space="preserve">Übertragbarkeit: </w:t>
      </w:r>
      <w:r>
        <w:rPr>
          <w:sz w:val="19"/>
        </w:rPr>
        <w:t>Schweden, vergleichbares nordeuropäisches Gesundheitssystem, Meldeverhalten unterscheidet sich durch Entschädigungssystem ohne Verschuldensprinzip</w:t>
      </w:r>
    </w:p>
    <w:p>
      <w:r>
        <w:rPr>
          <w:color w:val="5A7D3A"/>
          <w:sz w:val="18"/>
        </w:rPr>
        <w:t>https://pubmed.ncbi.nlm.nih.gov/42667115/</w:t>
      </w:r>
    </w:p>
    <w:p>
      <w:pPr>
        <w:pStyle w:val="Heading2"/>
      </w:pPr>
      <w:r>
        <w:t>Zahnärzte in Simbabwe: Hohes Stichverletzungsrisiko trotz IPC-Wissen</w:t>
      </w:r>
    </w:p>
    <w:p>
      <w:r>
        <w:rPr>
          <w:i/>
          <w:color w:val="666666"/>
          <w:sz w:val="18"/>
        </w:rPr>
        <w:t>Singh T et al.  ·  Front Public Health  ·  14.08.2026  ·  PMID 42666377</w:t>
      </w:r>
    </w:p>
    <w:p>
      <w:r>
        <w:t>Querschnittsstudie mit 220 Zahnfachleuten in Simbabwe zu IPC-Wissen, -Praktiken und beruflichen biologischen Expositionsrisiken mit Odds-Ratio-Analysen.</w:t>
      </w:r>
    </w:p>
    <w:p>
      <w:r>
        <w:rPr>
          <w:b/>
        </w:rPr>
        <w:t xml:space="preserve">Ergebnis: </w:t>
      </w:r>
      <w:r>
        <w:t>Lebenszeitinzidenz Stichverletzungen 61,2%, in den vorangegangenen 12 Monaten 14,7%, berufliche Infektionen 18,3%. Neuere Stichverletzung assoziiert mit früher Karrierephase (aOR 4,01), schlechter Handhygiene (aOR 0,34) und niedriger Risikowahrnehmung (aOR 0,49). Öffentliche Arbeit assoziiert mit Berufsinfektionen (aOR 2,66).</w:t>
      </w:r>
    </w:p>
    <w:p>
      <w:r>
        <w:rPr>
          <w:b/>
          <w:sz w:val="19"/>
        </w:rPr>
        <w:t xml:space="preserve">Übertragbarkeit: </w:t>
      </w:r>
      <w:r>
        <w:rPr>
          <w:sz w:val="19"/>
        </w:rPr>
        <w:t>Grenze: Ressourcenmangel und Systeminfizienz der Einrichtung, Problem global; Befund zu Wissenslücke und Implementierungslücke in allen Systemen relevant</w:t>
      </w:r>
    </w:p>
    <w:p>
      <w:r>
        <w:rPr>
          <w:color w:val="5A7D3A"/>
          <w:sz w:val="18"/>
        </w:rPr>
        <w:t>https://pubmed.ncbi.nlm.nih.gov/42666377/</w:t>
      </w:r>
    </w:p>
    <w:p>
      <w:pPr>
        <w:pStyle w:val="Heading2"/>
      </w:pPr>
      <w:r>
        <w:t>Peripher eingeführte Zentralkatheter reduzieren lokale Infektionen ohne erhöhtes Septikämierisiko</w:t>
      </w:r>
    </w:p>
    <w:p>
      <w:r>
        <w:rPr>
          <w:i/>
          <w:color w:val="666666"/>
          <w:sz w:val="18"/>
        </w:rPr>
        <w:t>Ehrlich S et al.  ·  Support Care Cancer  ·  28.08.2026  ·  PMID 42665709</w:t>
      </w:r>
    </w:p>
    <w:p>
      <w:r>
        <w:t>Retrospektive Kohortenstudie mit 116 AML-Patienten in München, die PICC- vs. CICC-Katheter während Chemoinduktion erhielten, mit Analyse nosokomialer Infektionen.</w:t>
      </w:r>
    </w:p>
    <w:p>
      <w:r>
        <w:rPr>
          <w:b/>
        </w:rPr>
        <w:t xml:space="preserve">Ergebnis: </w:t>
      </w:r>
      <w:r>
        <w:t>PICCs zeigten längere Verweilzeit (16 vs. 11 Tage, p=0,004), niedriger Katheter-assoziierte Blutstrominfektionen (2,8 vs. 2,6/1000 Kathetage, p=0,93), aber signifikant weniger Austrittstelleninfektionen (7,4 vs. 23,1/1000 Kathetage, p=0,01). Keine erhöhte Thromboserisiko.</w:t>
      </w:r>
    </w:p>
    <w:p>
      <w:r>
        <w:rPr>
          <w:b/>
          <w:sz w:val="19"/>
        </w:rPr>
        <w:t xml:space="preserve">Übertragbarkeit: </w:t>
      </w:r>
      <w:r>
        <w:rPr>
          <w:sz w:val="19"/>
        </w:rPr>
        <w:t>Deutschland, vergleichbare Krankenhaushygiene-Standards und Qualitätsmessung</w:t>
      </w:r>
    </w:p>
    <w:p>
      <w:r>
        <w:rPr>
          <w:color w:val="5A7D3A"/>
          <w:sz w:val="18"/>
        </w:rPr>
        <w:t>https://pubmed.ncbi.nlm.nih.gov/42665709/</w:t>
      </w:r>
    </w:p>
    <w:p>
      <w:pPr>
        <w:pStyle w:val="Heading2"/>
      </w:pPr>
      <w:r>
        <w:t>25 europäische Länder setzen nationale Antimikrobien-Verbrauchsziele um</w:t>
      </w:r>
    </w:p>
    <w:p>
      <w:r>
        <w:rPr>
          <w:i/>
          <w:color w:val="666666"/>
          <w:sz w:val="18"/>
        </w:rPr>
        <w:t>Högberg LD et al.  ·  Euro Surveill  ·  Aug. 2026  ·  PMID 42663069</w:t>
      </w:r>
    </w:p>
    <w:p>
      <w:r>
        <w:t>Umfrage zu 67 national adopted Targets für Antibiotikaverbrauch und Stewardship-Indikatoren aus 25 EU/EWR-Ländern für 2025 und darüber hinaus.</w:t>
      </w:r>
    </w:p>
    <w:p>
      <w:r>
        <w:rPr>
          <w:b/>
        </w:rPr>
        <w:t xml:space="preserve">Ergebnis: </w:t>
      </w:r>
      <w:r>
        <w:t>16 Länder mit 67 aktiven Targets: 73% Population-level-Indikatoren, 18% Patient-level, 9% Struktur-Stewardship. Bestandteile: Überwachungsinfrastruktur, Reporting-Systeme und Implementierungsrahmen variabel nach Setting und Ressourcen.</w:t>
      </w:r>
    </w:p>
    <w:p>
      <w:r>
        <w:rPr>
          <w:b/>
          <w:sz w:val="19"/>
        </w:rPr>
        <w:t xml:space="preserve">Übertragbarkeit: </w:t>
      </w:r>
      <w:r>
        <w:rPr>
          <w:sz w:val="19"/>
        </w:rPr>
        <w:t>Deutschsprachiger und europäischer Raum, direkt übertragbar auf KRINKO-Kontext und Surveillance-Systeme</w:t>
      </w:r>
    </w:p>
    <w:p>
      <w:r>
        <w:rPr>
          <w:color w:val="5A7D3A"/>
          <w:sz w:val="18"/>
        </w:rPr>
        <w:t>https://pubmed.ncbi.nlm.nih.gov/42663069/</w:t>
      </w:r>
    </w:p>
    <w:p>
      <w:pPr>
        <w:pStyle w:val="Heading2"/>
      </w:pPr>
      <w:r>
        <w:t>Sicherheitsberichte in klinischen Studien: Balance zwischen Risikominderung und Bürokratie</w:t>
      </w:r>
    </w:p>
    <w:p>
      <w:r>
        <w:rPr>
          <w:i/>
          <w:color w:val="666666"/>
          <w:sz w:val="18"/>
        </w:rPr>
        <w:t>Thompson J et al.  ·  PLoS One  ·  30.07.2026  ·  PMID 42531203</w:t>
      </w:r>
    </w:p>
    <w:p>
      <w:r>
        <w:t>Qualitative Fokusgruppen-Studie mit 23 Mitarbeitenden von vier britischen Clinical Trial Units zur Implementierung risikogerechter Sicherheitsberichterstattung.</w:t>
      </w:r>
    </w:p>
    <w:p>
      <w:r>
        <w:rPr>
          <w:b/>
        </w:rPr>
        <w:t xml:space="preserve">Ergebnis: </w:t>
      </w:r>
      <w:r>
        <w:t>Ein übergeordnetes Thema: Balanceakt zwischen risikogerechter Berichterstattung und Risikominderung. Personal fühlt sich unsicher in Entscheidungen. Lösungen: Klärung von Erwartungen, Transparenzverbesserung, Training und Wissensaustausch durch Mentoring und Plattformen auf Unit-Ebene.</w:t>
      </w:r>
    </w:p>
    <w:p>
      <w:r>
        <w:rPr>
          <w:b/>
          <w:sz w:val="19"/>
        </w:rPr>
        <w:t xml:space="preserve">Übertragbarkeit: </w:t>
      </w:r>
      <w:r>
        <w:rPr>
          <w:sz w:val="19"/>
        </w:rPr>
        <w:t>Vereinigtes Königreich, vergleichbare klinische Versuchsreglementierung; Regeländerungen 2025 relevant für alle RCT-Systeme</w:t>
      </w:r>
    </w:p>
    <w:p>
      <w:r>
        <w:rPr>
          <w:color w:val="5A7D3A"/>
          <w:sz w:val="18"/>
        </w:rPr>
        <w:t>https://pubmed.ncbi.nlm.nih.gov/42531203/</w:t>
      </w:r>
    </w:p>
    <w:p>
      <w:pPr>
        <w:pStyle w:val="Heading2"/>
      </w:pPr>
      <w:r>
        <w:t>Pharmazeutische Interventionen senken Medikationsfehler bei älteren Hospitalisierten um 35 Prozent</w:t>
      </w:r>
    </w:p>
    <w:p>
      <w:r>
        <w:rPr>
          <w:i/>
          <w:color w:val="666666"/>
          <w:sz w:val="18"/>
        </w:rPr>
        <w:t>Lopez-Leret D et al.  ·  Pharmazie  ·  24.07.2026  ·  PMID 42530075</w:t>
      </w:r>
    </w:p>
    <w:p>
      <w:r>
        <w:t>Retrospektive Analyse von 12.856 pharmazeutischen Interventionen 2019–2025 in einem französischen Geriatrie-Krankenhaus mit Fokus auf potenziell unangemessene Medikamente und arzneimittelbezogene Probleme.</w:t>
      </w:r>
    </w:p>
    <w:p>
      <w:r>
        <w:rPr>
          <w:b/>
        </w:rPr>
        <w:t xml:space="preserve">Ergebnis: </w:t>
      </w:r>
      <w:r>
        <w:t>65% der 12.856 Interventionen wurden von Verschreibern akzeptiert. Häufigste Probleme: Dosisauswahl (39,8%), Arzneimittelauswahl (14,3%), Behandlungsdauer (10,1%), Sicherheit (9,3%). Fachgruppen: Nervensystem (24,7%), Magen-Darm/Metabolismus (21,5%), Blut (19,8%), Herz-Kreislauf (13,6%).</w:t>
      </w:r>
    </w:p>
    <w:p>
      <w:r>
        <w:rPr>
          <w:b/>
          <w:sz w:val="19"/>
        </w:rPr>
        <w:t xml:space="preserve">Übertragbarkeit: </w:t>
      </w:r>
      <w:r>
        <w:rPr>
          <w:sz w:val="19"/>
        </w:rPr>
        <w:t>Frankreich, vergleichbares Sozialversicherungssystem, ähnliche Polypharmie-Problematik</w:t>
      </w:r>
    </w:p>
    <w:p>
      <w:r>
        <w:rPr>
          <w:color w:val="5A7D3A"/>
          <w:sz w:val="18"/>
        </w:rPr>
        <w:t>https://pubmed.ncbi.nlm.nih.gov/42530075/</w:t>
      </w:r>
    </w:p>
    <w:p>
      <w:pPr>
        <w:pStyle w:val="Heading1"/>
      </w:pPr>
      <w:r>
        <w:t>Aufgenommen am 29.08.2026</w:t>
      </w:r>
    </w:p>
    <w:p>
      <w:pPr>
        <w:pStyle w:val="Heading2"/>
      </w:pPr>
      <w:r>
        <w:t>Sieben kritische Kontrollpunkte in der Instrumentenaufbereitung senken Infektionsrisiko um 180-367%</w:t>
      </w:r>
    </w:p>
    <w:p>
      <w:r>
        <w:rPr>
          <w:i/>
          <w:color w:val="666666"/>
          <w:sz w:val="18"/>
        </w:rPr>
        <w:t>Lin X et al.  ·  Front Public Health  ·  13.08.2026  ·  PMID 42661801</w:t>
      </w:r>
    </w:p>
    <w:p>
      <w:r>
        <w:t>Retrospektive Kohortenstudie an 15.847 Operationen zur Identifizierung kritischer Kontrollpunkte in der Zentralsterilisation und deren Assoziation mit Wundinfektionen.</w:t>
      </w:r>
    </w:p>
    <w:p>
      <w:r>
        <w:rPr>
          <w:b/>
        </w:rPr>
        <w:t xml:space="preserve">Ergebnis: </w:t>
      </w:r>
      <w:r>
        <w:t>SSI-Rate 2,4% (380/15.847). Sieben identifizierte Kontrollpunkte zeigten unabhängige Assoziationen mit Infektionsrisiko: Vorprüfung (OR 2,34), Reinigungsvalidierung (OR 3,12), Sterilisationsüberwachung (OR 4,67), Sterilitätsmaintenance (OR 2,89), Personalqualifikation (OR 2,56), Gerätewartung (OR 3,45), Dokumentation (OR 1,98). Inadequate Kontrolle erhöhte Infektionsrisiko um 180-367%.</w:t>
      </w:r>
    </w:p>
    <w:p>
      <w:r>
        <w:rPr>
          <w:b/>
          <w:sz w:val="19"/>
        </w:rPr>
        <w:t xml:space="preserve">Übertragbarkeit: </w:t>
      </w:r>
      <w:r>
        <w:rPr>
          <w:sz w:val="19"/>
        </w:rPr>
        <w:t>China-Studie, aber Mess- und Kontrollprinzipien international übertragbar</w:t>
      </w:r>
    </w:p>
    <w:p>
      <w:r>
        <w:rPr>
          <w:color w:val="5A7D3A"/>
          <w:sz w:val="18"/>
        </w:rPr>
        <w:t>https://pubmed.ncbi.nlm.nih.gov/42661801/</w:t>
      </w:r>
    </w:p>
    <w:p>
      <w:pPr>
        <w:pStyle w:val="Heading2"/>
      </w:pPr>
      <w:r>
        <w:t>Sicherheitskultur in integrierten Gesundheits- und Sozialdiensten: finnische Erfassung mit SOPS 2.0</w:t>
      </w:r>
    </w:p>
    <w:p>
      <w:r>
        <w:rPr>
          <w:i/>
          <w:color w:val="666666"/>
          <w:sz w:val="18"/>
        </w:rPr>
        <w:t>Hult M et al.  ·  BMJ Open Qual  ·  27.08.2026  ·  PMID 42660605</w:t>
      </w:r>
    </w:p>
    <w:p>
      <w:r>
        <w:t>Querschnittstudie mit 2.623 Beschäftigten aus Krankenhäusern und Altenpflege in Finnland zur Messung der Sicherheitskultur mit validierten Instrumenten.</w:t>
      </w:r>
    </w:p>
    <w:p>
      <w:r>
        <w:rPr>
          <w:b/>
        </w:rPr>
        <w:t xml:space="preserve">Ergebnis: </w:t>
      </w:r>
      <w:r>
        <w:t>Teamwork erhielt beste Bewertungen (71,1%), Handoffs und Informationsaustausch niedrigste (22,6%). Ältere Dienste schnitten konsistent schlechter ab. Insgesamt 52,6% positive Responses für Net Safety Score. Das Modell erklärte 47,4% der Varianz in Krankenhäusern, 47,0% in Altenpflege, 35,8% in Gesundheits- und Sozialdiensten.</w:t>
      </w:r>
    </w:p>
    <w:p>
      <w:r>
        <w:rPr>
          <w:b/>
          <w:sz w:val="19"/>
        </w:rPr>
        <w:t xml:space="preserve">Übertragbarkeit: </w:t>
      </w:r>
      <w:r>
        <w:rPr>
          <w:sz w:val="19"/>
        </w:rPr>
        <w:t>Skandinavien, anderes Melde- und Entschädigungssystem ohne Verschuldensnachweis</w:t>
      </w:r>
    </w:p>
    <w:p>
      <w:r>
        <w:rPr>
          <w:color w:val="5A7D3A"/>
          <w:sz w:val="18"/>
        </w:rPr>
        <w:t>https://pubmed.ncbi.nlm.nih.gov/42660605/</w:t>
      </w:r>
    </w:p>
    <w:p>
      <w:pPr>
        <w:pStyle w:val="Heading2"/>
      </w:pPr>
      <w:r>
        <w:t>Strukturierte Schulung und Peer-Support reduzierten Medikationsfehler dauerhaft auf null</w:t>
      </w:r>
    </w:p>
    <w:p>
      <w:r>
        <w:rPr>
          <w:i/>
          <w:color w:val="666666"/>
          <w:sz w:val="18"/>
        </w:rPr>
        <w:t>Cheng HS et al.  ·  BMJ Open Qual  ·  27.08.2026  ·  PMID 42660604</w:t>
      </w:r>
    </w:p>
    <w:p>
      <w:r>
        <w:t>QI-Projekt in Singaporer Klinik mit zwei PDSA-Zyklen zur Reduktion von Medikations-Bestellfehlern durch Schulung, Erinnerungen, Prescribing Champions und interdisziplinäre Collaboration.</w:t>
      </w:r>
    </w:p>
    <w:p>
      <w:r>
        <w:rPr>
          <w:b/>
        </w:rPr>
        <w:t xml:space="preserve">Ergebnis: </w:t>
      </w:r>
      <w:r>
        <w:t>Bestellfehler reduzierten von Baseline-Median 3 pro Monat auf null von Januar bis Dezember 2023, Reduktion bis August 2024 aufrechterhalten. Geschätzte Kostenersparnis SGD 18.000 jährlich basierend auf lokalen Schätzwerten für Medikationsschäden. Initiative erfolgreich auf zweite Station übertragen, anschließend in Hospitals-weites PGY1-Programm integriert.</w:t>
      </w:r>
    </w:p>
    <w:p>
      <w:r>
        <w:rPr>
          <w:b/>
          <w:sz w:val="19"/>
        </w:rPr>
        <w:t xml:space="preserve">Übertragbarkeit: </w:t>
      </w:r>
      <w:r>
        <w:rPr>
          <w:sz w:val="19"/>
        </w:rPr>
        <w:t>Singapur, vergleichbare Versicherungsstrukturen und Versorgungsdokumentation</w:t>
      </w:r>
    </w:p>
    <w:p>
      <w:r>
        <w:rPr>
          <w:color w:val="5A7D3A"/>
          <w:sz w:val="18"/>
        </w:rPr>
        <w:t>https://pubmed.ncbi.nlm.nih.gov/42660604/</w:t>
      </w:r>
    </w:p>
    <w:p>
      <w:pPr>
        <w:pStyle w:val="Heading2"/>
      </w:pPr>
      <w:r>
        <w:t>Smartphone-App für Antibiotikarichtlinien verbesserte Adhärenz nicht gegenüber Papierversion</w:t>
      </w:r>
    </w:p>
    <w:p>
      <w:r>
        <w:rPr>
          <w:i/>
          <w:color w:val="666666"/>
          <w:sz w:val="18"/>
        </w:rPr>
        <w:t>Chansamouth V et al.  ·  PLoS Med  ·  27.08.2026  ·  PMID 42659762</w:t>
      </w:r>
    </w:p>
    <w:p>
      <w:r>
        <w:t>Stepped-wedge Cluster-RCT (2021-2022) in sechs Krankenhäusern in Laos mit 3.561 stationären Verordnungen zum Vergleich Smartphone-basierter versus papiergestützter Antibiotikarichtlinien mit Stewardship-Training.</w:t>
      </w:r>
    </w:p>
    <w:p>
      <w:r>
        <w:rPr>
          <w:b/>
        </w:rPr>
        <w:t xml:space="preserve">Ergebnis: </w:t>
      </w:r>
      <w:r>
        <w:t>Stationäre Adhärenz 17,0% (95% CI 15,0-19,0%) in Referenz, 25,6% (95% CI 23,1-28,3%) in Intervention. Nach Adjustierung unterschied sich Adhärenz nicht signifikant (aOR 1,26, 95% CI 0,8-1,9; p=0,276). Ambulant aOR 0,91 (95% CI 0,7-1,1; p=0,406). Zeittrend zeigte erste Interventionsgruppe mit höherer Adhärenz (32,1%) vs. letzte (19,1%), aOR 1,95.</w:t>
      </w:r>
    </w:p>
    <w:p>
      <w:r>
        <w:rPr>
          <w:b/>
          <w:sz w:val="19"/>
        </w:rPr>
        <w:t xml:space="preserve">Übertragbarkeit: </w:t>
      </w:r>
      <w:r>
        <w:rPr>
          <w:sz w:val="19"/>
        </w:rPr>
        <w:t>LMIC-Setting, zeigt dass Guideline-Verfügbarkeit allein nicht ausreicht – Adhärenz multifaktoriell</w:t>
      </w:r>
    </w:p>
    <w:p>
      <w:r>
        <w:rPr>
          <w:color w:val="5A7D3A"/>
          <w:sz w:val="18"/>
        </w:rPr>
        <w:t>https://pubmed.ncbi.nlm.nih.gov/42659762/</w:t>
      </w:r>
    </w:p>
    <w:p>
      <w:pPr>
        <w:pStyle w:val="Heading2"/>
      </w:pPr>
      <w:r>
        <w:t>Just-Culture-Implementierung erhöhte Sicherheitsmeldungen statistisch signifikant</w:t>
      </w:r>
    </w:p>
    <w:p>
      <w:r>
        <w:rPr>
          <w:i/>
          <w:color w:val="666666"/>
          <w:sz w:val="18"/>
        </w:rPr>
        <w:t>McGonigal M et al.  ·  Crit Care Nurs Q  ·  26.08.2026  ·  PMID 42659660</w:t>
      </w:r>
    </w:p>
    <w:p>
      <w:r>
        <w:t>QI-Projekt in ICUs eines Krankenhaussystems zur Implementierung eines Just-Culture-Programms mit IHI-PDSA-Methode zur Messung von Sicherheitskultur und Meldepraxis.</w:t>
      </w:r>
    </w:p>
    <w:p>
      <w:r>
        <w:rPr>
          <w:b/>
        </w:rPr>
        <w:t xml:space="preserve">Ergebnis: </w:t>
      </w:r>
      <w:r>
        <w:t>CT2023 AHRQ Patient Safety Survey: Error-Domain in Critical-Care-Units verbesserte sich von 54,58% (2023) auf 59% (2025). Sicherheitsmeldungen von CY2023 zu CY2024 statistisch signifikant erhöht (t-Test p=0,00000009).</w:t>
      </w:r>
    </w:p>
    <w:p>
      <w:r>
        <w:rPr>
          <w:b/>
          <w:sz w:val="19"/>
        </w:rPr>
        <w:t xml:space="preserve">Übertragbarkeit: </w:t>
      </w:r>
      <w:r>
        <w:rPr>
          <w:sz w:val="19"/>
        </w:rPr>
        <w:t>USA-Studie, aber Just-Culture-Konzept und PDSA-Ansatz international anwendbar</w:t>
      </w:r>
    </w:p>
    <w:p>
      <w:r>
        <w:rPr>
          <w:color w:val="5A7D3A"/>
          <w:sz w:val="18"/>
        </w:rPr>
        <w:t>https://pubmed.ncbi.nlm.nih.gov/42659660/</w:t>
      </w:r>
    </w:p>
    <w:p>
      <w:pPr>
        <w:pStyle w:val="Heading2"/>
      </w:pPr>
      <w:r>
        <w:t>192 Fälle ärztlicher Manslaughter zeigen hohe Quote advertenter Fehler und Systemprobleme</w:t>
      </w:r>
    </w:p>
    <w:p>
      <w:r>
        <w:rPr>
          <w:i/>
          <w:color w:val="666666"/>
          <w:sz w:val="18"/>
        </w:rPr>
        <w:t>Griffiths D  ·  Med Law Rev  ·  08.07.2026  ·  PMID 42595380</w:t>
      </w:r>
    </w:p>
    <w:p>
      <w:r>
        <w:t>Retrospektive Analyse aller 192 Fälle ärztlicher Manslaughter, die 2007-2018 der britischen Crown Prosecution Service vorgelegt wurden, zur Charakterisierung von Mustern und Haftungsmustern.</w:t>
      </w:r>
    </w:p>
    <w:p>
      <w:r>
        <w:rPr>
          <w:b/>
        </w:rPr>
        <w:t xml:space="preserve">Ergebnis: </w:t>
      </w:r>
      <w:r>
        <w:t>MM-Anklagen extrem selten, aber Analyse offenbarte bisher unerforschte Trends mit hoher Quote individueller advertenter Mängel und tiefere Strukturprobleme über reine Systemfehler hinaus. Artikel zeigt dass MM-Fälle untergenutzte Quelle für Lernen und Accountability darstellen und Ansätze erfordern, die über Strafrecht hinausgehen.</w:t>
      </w:r>
    </w:p>
    <w:p>
      <w:r>
        <w:rPr>
          <w:b/>
          <w:sz w:val="19"/>
        </w:rPr>
        <w:t xml:space="preserve">Übertragbarkeit: </w:t>
      </w:r>
      <w:r>
        <w:rPr>
          <w:sz w:val="19"/>
        </w:rPr>
        <w:t>Großbritannien, anderes Haftungs- und Entschädigungssystem als Deutschland</w:t>
      </w:r>
    </w:p>
    <w:p>
      <w:r>
        <w:rPr>
          <w:color w:val="5A7D3A"/>
          <w:sz w:val="18"/>
        </w:rPr>
        <w:t>https://pubmed.ncbi.nlm.nih.gov/42595380/</w:t>
      </w:r>
    </w:p>
    <w:p>
      <w:pPr>
        <w:pStyle w:val="Heading2"/>
      </w:pPr>
      <w:r>
        <w:t>26% der Antiphospholipid-Syndrom-Diagnosen erfüllen formale Kriterien nicht</w:t>
      </w:r>
    </w:p>
    <w:p>
      <w:r>
        <w:rPr>
          <w:i/>
          <w:color w:val="666666"/>
          <w:sz w:val="18"/>
        </w:rPr>
        <w:t>Gnanapragasam S et al.  ·  Dan Med J  ·  23.06.2026  ·  PMID 42592773</w:t>
      </w:r>
    </w:p>
    <w:p>
      <w:r>
        <w:t>Retrospektive Studie in zwei dänischen Regionen mit 175 Patienten mit ICD-10-Code D68.61 zur Überprüfung ob formale APS-Kriterien erfüllt sind.</w:t>
      </w:r>
    </w:p>
    <w:p>
      <w:r>
        <w:rPr>
          <w:b/>
        </w:rPr>
        <w:t xml:space="preserve">Ergebnis: </w:t>
      </w:r>
      <w:r>
        <w:t>46 von 175 Patienten (26%) erfüllten formale APS-Kriterien nicht. Hauptgrund: fehlerhafte Laborbefund-Interpretation. In zehn Fällen Klinik nicht erfüllt, in 15 Fällen wurden aPLs negativ nach Monaten/Jahren. Bei &lt;50 Jahren APS häufiger in Frauen (41 vs. 12; p&lt;0,0001), nicht bei ≥50 Jahren (38 vs. 38).</w:t>
      </w:r>
    </w:p>
    <w:p>
      <w:r>
        <w:rPr>
          <w:b/>
          <w:sz w:val="19"/>
        </w:rPr>
        <w:t xml:space="preserve">Übertragbarkeit: </w:t>
      </w:r>
      <w:r>
        <w:rPr>
          <w:sz w:val="19"/>
        </w:rPr>
        <w:t>Dänemark, anderes Meldesystem (Verschuldensnachweis nicht erforderlich), aber Diagnoseproblem universal</w:t>
      </w:r>
    </w:p>
    <w:p>
      <w:r>
        <w:rPr>
          <w:color w:val="5A7D3A"/>
          <w:sz w:val="18"/>
        </w:rPr>
        <w:t>https://pubmed.ncbi.nlm.nih.gov/42592773/</w:t>
      </w:r>
    </w:p>
    <w:p>
      <w:pPr>
        <w:pStyle w:val="Heading1"/>
      </w:pPr>
      <w:r>
        <w:t>Aufgenommen am 28.08.2026</w:t>
      </w:r>
    </w:p>
    <w:p>
      <w:pPr>
        <w:pStyle w:val="Heading2"/>
      </w:pPr>
      <w:r>
        <w:t>MRSA-Präventionsprogramm senkte Krankenhaus-Infektionen um 65%</w:t>
      </w:r>
    </w:p>
    <w:p>
      <w:r>
        <w:rPr>
          <w:i/>
          <w:color w:val="666666"/>
          <w:sz w:val="18"/>
        </w:rPr>
        <w:t>Maragakis LL et al.  ·  JAMA Netw Open  ·  03.08.2026  ·  PMID 42658494</w:t>
      </w:r>
    </w:p>
    <w:p>
      <w:r>
        <w:t>Qualitätsverbesserungsprogramm mit webinar-basierter Schulung zu Dekolonisation, Flächendesinfektion und Bündelmaßnahmen gegen MRSA-Infektionen in 193 Stationen (106 ICU, 87 Nicht-ICU).</w:t>
      </w:r>
    </w:p>
    <w:p>
      <w:r>
        <w:rPr>
          <w:b/>
        </w:rPr>
        <w:t xml:space="preserve">Ergebnis: </w:t>
      </w:r>
      <w:r>
        <w:t>MRSA-Bakterämien sanken um 65% (2,3 Ereignisse pro 10.000 Patiententage, 95% KI −2,8 bis −1,9; p&lt;0,001), klinische MRSA-Kulturen um 39% und nosokomiale Infektionen um 37% im Gesamtvergleich.</w:t>
      </w:r>
    </w:p>
    <w:p>
      <w:r>
        <w:rPr>
          <w:b/>
          <w:sz w:val="19"/>
        </w:rPr>
        <w:t xml:space="preserve">Übertragbarkeit: </w:t>
      </w:r>
      <w:r>
        <w:rPr>
          <w:sz w:val="19"/>
        </w:rPr>
        <w:t>USA-Studie, aber Bundel-Elemente auf deutsches System übertragbar.</w:t>
      </w:r>
    </w:p>
    <w:p>
      <w:r>
        <w:rPr>
          <w:color w:val="5A7D3A"/>
          <w:sz w:val="18"/>
        </w:rPr>
        <w:t>https://pubmed.ncbi.nlm.nih.gov/42658494/</w:t>
      </w:r>
    </w:p>
    <w:p>
      <w:pPr>
        <w:pStyle w:val="Heading2"/>
      </w:pPr>
      <w:r>
        <w:t>Polypharmacy und kognitiv-schädliche Medikamente bei Demenz häufig unerkannt</w:t>
      </w:r>
    </w:p>
    <w:p>
      <w:r>
        <w:rPr>
          <w:i/>
          <w:color w:val="666666"/>
          <w:sz w:val="18"/>
        </w:rPr>
        <w:t>Morató X et al.  ·  Alzheimers Dement  ·  Aug. 2026  ·  PMID 42639919</w:t>
      </w:r>
    </w:p>
    <w:p>
      <w:r>
        <w:t>Querschnitt-Observational-Studie (n=2.379) in Memory Clinic Barcelona: Polypharmacy (≥5 Medikamente), potentiell inadäquate Medikation (PIMs) und Medikamente mit kognitiver Toxizität anhand LLM-gestützter Datenextraktion untersucht.</w:t>
      </w:r>
    </w:p>
    <w:p>
      <w:r>
        <w:rPr>
          <w:b/>
        </w:rPr>
        <w:t xml:space="preserve">Ergebnis: </w:t>
      </w:r>
      <w:r>
        <w:t>67% mit kognitiver Beeinträchtigung (CDR ≥0,5) zeigten Polypharmacy, 21% Hyperpolypharmacy (≥10 Medikamente). 20,8% mit Polypharmacy hatten eingeschränkte Nierenfunktion. Schutzfaktor: höhere Bildung. LLM-Einsatz ermöglichte strukturierte Medikamentenanalyse.</w:t>
      </w:r>
    </w:p>
    <w:p>
      <w:r>
        <w:rPr>
          <w:b/>
          <w:sz w:val="19"/>
        </w:rPr>
        <w:t xml:space="preserve">Übertragbarkeit: </w:t>
      </w:r>
      <w:r>
        <w:rPr>
          <w:sz w:val="19"/>
        </w:rPr>
        <w:t>Spanien, medizinische Dokumentationspraxis vergleichbar; Praxisrelevanz für deutsche Gedächtnisambulanzen.</w:t>
      </w:r>
    </w:p>
    <w:p>
      <w:r>
        <w:rPr>
          <w:color w:val="5A7D3A"/>
          <w:sz w:val="18"/>
        </w:rPr>
        <w:t>https://pubmed.ncbi.nlm.nih.gov/42639919/</w:t>
      </w:r>
    </w:p>
    <w:p>
      <w:pPr>
        <w:pStyle w:val="Heading2"/>
      </w:pPr>
      <w:r>
        <w:t>C-reaktives Protein und Beatmungsdauer zur Früherkennung von VAP geeignet</w:t>
      </w:r>
    </w:p>
    <w:p>
      <w:r>
        <w:rPr>
          <w:i/>
          <w:color w:val="666666"/>
          <w:sz w:val="18"/>
        </w:rPr>
        <w:t>Becirovic M et al.  ·  Med Glas (Zenica)  ·  08.07.2026  ·  PMID 42592972</w:t>
      </w:r>
    </w:p>
    <w:p>
      <w:r>
        <w:t>Prospektive Kohortenstudie (n=118) in einer ICU Tuzla: VAP (n=41; 34,7%) vs. ohne VAP; Risikofaktoren, laborchemische Parameter und Mikrobiologie analysiert.</w:t>
      </w:r>
    </w:p>
    <w:p>
      <w:r>
        <w:rPr>
          <w:b/>
        </w:rPr>
        <w:t xml:space="preserve">Ergebnis: </w:t>
      </w:r>
      <w:r>
        <w:t>VAP-Patienten hatten längere Beatmung (12,5 vs. 7,3 Tage; p&lt;0,001), längerer Aufenthalt (19,6 vs. 12,2 Tage; p&lt;0,001), höhere CRP (178,2 vs. 126,4 mg/L; p&lt;0,001). CRP zeigte gute diskriminative Fähigkeit (AUC 0,83). Acinetobacter baumannii war Leitpathogen (43,9%).</w:t>
      </w:r>
    </w:p>
    <w:p>
      <w:r>
        <w:rPr>
          <w:b/>
          <w:sz w:val="19"/>
        </w:rPr>
        <w:t xml:space="preserve">Übertragbarkeit: </w:t>
      </w:r>
      <w:r>
        <w:rPr>
          <w:sz w:val="19"/>
        </w:rPr>
        <w:t>Südosteuropa, vergleichbares öffentliches Gesundheitssystem; ICU-Schwelle erreicht.</w:t>
      </w:r>
    </w:p>
    <w:p>
      <w:r>
        <w:rPr>
          <w:color w:val="5A7D3A"/>
          <w:sz w:val="18"/>
        </w:rPr>
        <w:t>https://pubmed.ncbi.nlm.nih.gov/42592972/</w:t>
      </w:r>
    </w:p>
    <w:p>
      <w:pPr>
        <w:pStyle w:val="Heading2"/>
      </w:pPr>
      <w:r>
        <w:t>Verzicht auf Antibiotikaprophylaxe bei robotischer Hernienchirurgie ohne Infektionszunahme</w:t>
      </w:r>
    </w:p>
    <w:p>
      <w:r>
        <w:rPr>
          <w:i/>
          <w:color w:val="666666"/>
          <w:sz w:val="18"/>
        </w:rPr>
        <w:t>Alfarawan F et al.  ·  Hernia  ·  31.07.2026  ·  PMID 42536218</w:t>
      </w:r>
    </w:p>
    <w:p>
      <w:r>
        <w:t>Kohortenstudie mit Propensity-Score-Matching (n=156 nach Matching): robotische ventrale Hernienchirurgie mit (n=78) vs. ohne (n=78) single-shot Prophylaxe; SSI und Wundheilungsstörungen in 30 und 90 Tagen erfasst.</w:t>
      </w:r>
    </w:p>
    <w:p>
      <w:r>
        <w:rPr>
          <w:b/>
        </w:rPr>
        <w:t xml:space="preserve">Ergebnis: </w:t>
      </w:r>
      <w:r>
        <w:t>30-Tage SSI 2,6% mit vs. 1,3% ohne Prophylaxe (p=1,0), 90-Tage SSI 0%, Wundheilungsstörungen 12,8% vs. 15,4% (p=0,82). Kein Unterschied in Liegedauer (beide 2 Tage). Prophylaxe nicht protektiv in Multivarianz-Analyse.</w:t>
      </w:r>
    </w:p>
    <w:p>
      <w:r>
        <w:rPr>
          <w:b/>
          <w:sz w:val="19"/>
        </w:rPr>
        <w:t xml:space="preserve">Übertragbarkeit: </w:t>
      </w:r>
      <w:r>
        <w:rPr>
          <w:sz w:val="19"/>
        </w:rPr>
        <w:t>Deutschland, deutschsprachige Studie; Antibiotic Stewardship Kriterium erfüllt.</w:t>
      </w:r>
    </w:p>
    <w:p>
      <w:r>
        <w:rPr>
          <w:color w:val="5A7D3A"/>
          <w:sz w:val="18"/>
        </w:rPr>
        <w:t>https://pubmed.ncbi.nlm.nih.gov/42536218/</w:t>
      </w:r>
    </w:p>
    <w:p>
      <w:pPr>
        <w:pStyle w:val="Heading2"/>
      </w:pPr>
      <w:r>
        <w:t>Händehygiene bei Reinigungspersonal: Systematische Lücke im Infektionsschutz</w:t>
      </w:r>
    </w:p>
    <w:p>
      <w:r>
        <w:rPr>
          <w:i/>
          <w:color w:val="666666"/>
          <w:sz w:val="18"/>
        </w:rPr>
        <w:t>Rager AM et al.  ·  Front Public Health  ·  16.07.2026  ·  PMID 42535004</w:t>
      </w:r>
    </w:p>
    <w:p>
      <w:r>
        <w:t>Scoping Review zur Händehygiene bei Krankenhausreinigungspersonal (2009–2025): 33 Quellen analysiert, Wissen, Einstellungen, fördernde und hemmende Faktoren identifiziert.</w:t>
      </w:r>
    </w:p>
    <w:p>
      <w:r>
        <w:rPr>
          <w:b/>
        </w:rPr>
        <w:t xml:space="preserve">Ergebnis: </w:t>
      </w:r>
      <w:r>
        <w:t>Überwiegend deskriptive Evidenz mit Heterogenität. Interventionen basierten auf zielgruppenorientierter Schulung, Simulationstraining und multimodalem Ansatz. Evidenzbasis klein; keine randomisierten Studien vorhanden. Intervention-Effekte nicht quantifiziert.</w:t>
      </w:r>
    </w:p>
    <w:p>
      <w:r>
        <w:rPr>
          <w:b/>
          <w:sz w:val="19"/>
        </w:rPr>
        <w:t xml:space="preserve">Übertragbarkeit: </w:t>
      </w:r>
      <w:r>
        <w:rPr>
          <w:sz w:val="19"/>
        </w:rPr>
        <w:t>Deutsches und europäisches Setting relevant; Arbeitsschutz und Betriebsrat klären.</w:t>
      </w:r>
    </w:p>
    <w:p>
      <w:r>
        <w:rPr>
          <w:color w:val="5A7D3A"/>
          <w:sz w:val="18"/>
        </w:rPr>
        <w:t>https://pubmed.ncbi.nlm.nih.gov/42535004/</w:t>
      </w:r>
    </w:p>
    <w:p>
      <w:pPr>
        <w:pStyle w:val="Heading2"/>
      </w:pPr>
      <w:r>
        <w:t>Sicherheitskultur und Meldeinfrastruktur verbessern Fehlerberichte in Kindernotaufnahmen</w:t>
      </w:r>
    </w:p>
    <w:p>
      <w:r>
        <w:rPr>
          <w:i/>
          <w:color w:val="666666"/>
          <w:sz w:val="18"/>
        </w:rPr>
        <w:t>Collado-González B et al.  ·  BMJ Open  ·  30.07.2026  ·  PMID 42532562</w:t>
      </w:r>
    </w:p>
    <w:p>
      <w:r>
        <w:t>Multizentrisches Querschnitt-Survey in 19 spanischen Kindernotaufnahmen: Organisatorische Sicherheitspraktiken, Sicherheitskultur (Hospital Survey on Patient Safety Culture) und Fehlerberichte untersucht.</w:t>
      </w:r>
    </w:p>
    <w:p>
      <w:r>
        <w:rPr>
          <w:b/>
        </w:rPr>
        <w:t xml:space="preserve">Ergebnis: </w:t>
      </w:r>
      <w:r>
        <w:t>Zusätzliche Meldesysteme waren unabhängig mit höherem Fehlerreporting assoziiert (OR 2,69; 95% KI 1,57–4,66). Patientensicherheitsspezialisten, Walkarounds und Simulationstraining zeigten günstigere Kultur-Scores (p&lt;0,001), aber nicht unabhängig mit Reporting verbunden.</w:t>
      </w:r>
    </w:p>
    <w:p>
      <w:r>
        <w:rPr>
          <w:b/>
          <w:sz w:val="19"/>
        </w:rPr>
        <w:t xml:space="preserve">Übertragbarkeit: </w:t>
      </w:r>
      <w:r>
        <w:rPr>
          <w:sz w:val="19"/>
        </w:rPr>
        <w:t>Spanien, ähnliches Gesundheitssystem wie Deutschland; Meldeinfrastruktur zentral.</w:t>
      </w:r>
    </w:p>
    <w:p>
      <w:r>
        <w:rPr>
          <w:color w:val="5A7D3A"/>
          <w:sz w:val="18"/>
        </w:rPr>
        <w:t>https://pubmed.ncbi.nlm.nih.gov/42532562/</w:t>
      </w:r>
    </w:p>
    <w:p>
      <w:pPr>
        <w:pStyle w:val="Heading1"/>
      </w:pPr>
      <w:r>
        <w:t>Aufgenommen am 27.08.2026</w:t>
      </w:r>
    </w:p>
    <w:p>
      <w:pPr>
        <w:pStyle w:val="Heading2"/>
      </w:pPr>
      <w:r>
        <w:t>Bakterielle Pathogene in septischer Myokardschädigung: Nachweis ursächlicher Zusammenhänge nicht gelungen</w:t>
      </w:r>
    </w:p>
    <w:p>
      <w:r>
        <w:rPr>
          <w:i/>
          <w:color w:val="666666"/>
          <w:sz w:val="18"/>
        </w:rPr>
        <w:t>Lörstad S et al.  ·  BMJ Open  ·  26.08.2026  ·  PMID 42648781</w:t>
      </w:r>
    </w:p>
    <w:p>
      <w:r>
        <w:t>Scoping Review (nach PRISMA-ScR und Joanna-Briggs-Methodologie) systematisch durchsuchter Literatur (PubMed, Embase, Web of Science bis Dezember 2024) zu spezifischen bakteriellen Erregern oder deren Toxinen und myokardialer Schädigung bei septischen Erwachsenen.</w:t>
      </w:r>
    </w:p>
    <w:p>
      <w:r>
        <w:rPr>
          <w:b/>
        </w:rPr>
        <w:t xml:space="preserve">Ergebnis: </w:t>
      </w:r>
      <w:r>
        <w:t>17 Studien eingeschlossen (3 Beobachtungskohorten mit 173 klinischen Patienten, 13 Fallberichte, 1 in-vitro-Studie): diverse Gram-negative und Gram-positive Erreger ohne konsistente Assoziation mit spezifischem Erreger oder Toxin. Myokardschädigung überwiegend durch Biomarker identifiziert, begrenzte Obduktionsbestätigungen. Keine Studie war für kausale oder vergleichende pathogene Mechanismen konzipiert. Verfügbare Daten zeigen heterogene infektiöse Kontexte ohne valide Erregerzuordnung.</w:t>
      </w:r>
    </w:p>
    <w:p>
      <w:r>
        <w:rPr>
          <w:b/>
          <w:sz w:val="19"/>
        </w:rPr>
        <w:t xml:space="preserve">Übertragbarkeit: </w:t>
      </w:r>
      <w:r>
        <w:rPr>
          <w:sz w:val="19"/>
        </w:rPr>
        <w:t>Skandinavien, Studiendesign zeigt Erkenntnislücke zur septischen Myokardschädigung; Implikation für Versorgung</w:t>
      </w:r>
    </w:p>
    <w:p>
      <w:r>
        <w:rPr>
          <w:color w:val="5A7D3A"/>
          <w:sz w:val="18"/>
        </w:rPr>
        <w:t>https://pubmed.ncbi.nlm.nih.gov/42648781/</w:t>
      </w:r>
    </w:p>
    <w:p>
      <w:pPr>
        <w:pStyle w:val="Heading2"/>
      </w:pPr>
      <w:r>
        <w:t>Arzneimittelkaskaden: 0,69%–3,29% Inzidenz vermeidbarer Medikationsfehler bei älteren Patienten</w:t>
      </w:r>
    </w:p>
    <w:p>
      <w:r>
        <w:rPr>
          <w:i/>
          <w:color w:val="666666"/>
          <w:sz w:val="18"/>
        </w:rPr>
        <w:t>Gervais F et al.  ·  Age Ageing  ·  03.08.2026  ·  PMID 42647768</w:t>
      </w:r>
    </w:p>
    <w:p>
      <w:r>
        <w:t>Analyse von 16,6 Mio. französischen Patientendaten ≥65 Jahren zur Häufigkeit von Arzneimittelkaskaden (unerwünschte Arzneimittelwirkungen, die fälschlicherweise als neue Erkrankung interpretiert werden und zu zusätzlichen Verschreibungen führen).</w:t>
      </w:r>
    </w:p>
    <w:p>
      <w:r>
        <w:rPr>
          <w:b/>
        </w:rPr>
        <w:t xml:space="preserve">Ergebnis: </w:t>
      </w:r>
      <w:r>
        <w:t>Bei 67% der Patienten mit kognitiver Beeinträchtigung lag Polypharmazie vor. Vier von sieben potenzielle Kaskaden zeigten signifikante positive Signale; stärkste: Benzodiazepin-Antipsychotika-Kaskade (adjustiertes Sequenzratio 2,48, 99%-KI 2,44–2,51) und Antipsychotika-Antiparkinson-Kaskade (2,01, 99%-KI 1,91–2,11). Inzidenz 0,69%–3,29%. Weibliches Geschlecht, Alter ≥85 Jahre, Hospitalisierungsbeginn der Indexmedikation und fehlende Verschreiberkontinuität waren mit höherem Kaskadenrisiko assoziiert.</w:t>
      </w:r>
    </w:p>
    <w:p>
      <w:r>
        <w:rPr>
          <w:b/>
          <w:sz w:val="19"/>
        </w:rPr>
        <w:t xml:space="preserve">Übertragbarkeit: </w:t>
      </w:r>
      <w:r>
        <w:rPr>
          <w:sz w:val="19"/>
        </w:rPr>
        <w:t>Frankreich, vergleichbar mit deutschem Sozialversicherungssystem und Dokumentationspflichten</w:t>
      </w:r>
    </w:p>
    <w:p>
      <w:r>
        <w:rPr>
          <w:color w:val="5A7D3A"/>
          <w:sz w:val="18"/>
        </w:rPr>
        <w:t>https://pubmed.ncbi.nlm.nih.gov/42647768/</w:t>
      </w:r>
    </w:p>
    <w:p>
      <w:pPr>
        <w:pStyle w:val="Heading2"/>
      </w:pPr>
      <w:r>
        <w:t>Periphere Vasopressoren: Protokollabweichungen führten selten zu klinisch relevanter Gewebeschädigung</w:t>
      </w:r>
    </w:p>
    <w:p>
      <w:r>
        <w:rPr>
          <w:i/>
          <w:color w:val="666666"/>
          <w:sz w:val="18"/>
        </w:rPr>
        <w:t>Shyu D et al.  ·  Crit Care Explor  ·  01.09.2026  ·  PMID 42640631</w:t>
      </w:r>
    </w:p>
    <w:p>
      <w:r>
        <w:t>Retrospektive Observationsstudie in 10 Krankenhäusern (Oktober 2020–Mai 2023) zu Abweichungen von einem institutionellen Protokoll für periphere Vasopressorengabe und deren Assoziation mit Extravasationen.</w:t>
      </w:r>
    </w:p>
    <w:p>
      <w:r>
        <w:rPr>
          <w:b/>
        </w:rPr>
        <w:t xml:space="preserve">Ergebnis: </w:t>
      </w:r>
      <w:r>
        <w:t>Von 3518 Patienten mit peripherer Vasopressorengabe hatten 1258 verdächtige Protokollabweichungen; 73 von 162 zur Detailrevision ausgewählten bestätigt: 86,3% überschritten Höchstdosis, 23 bekamen mehrere gleichzeitig, 13 infundiert &gt;24h, 13 periphere Vasopressin. 79,4% der Abweichungen bei Schock-Verschlimmerung vor zentralem Zugang. Extravasation: 13,7% (10 Patienten), 3 erhielten Phentolamin. In Sekundäranalyse: 47/3518 (1,3%) bekamen Phentolamin, davon 72,4% protokollkonform zum Zeitpunkt der Extravasation.</w:t>
      </w:r>
    </w:p>
    <w:p>
      <w:r>
        <w:rPr>
          <w:b/>
          <w:sz w:val="19"/>
        </w:rPr>
        <w:t xml:space="preserve">Übertragbarkeit: </w:t>
      </w:r>
      <w:r>
        <w:rPr>
          <w:sz w:val="19"/>
        </w:rPr>
        <w:t>USA, aber Sicherheitsbefund unabhängig von System; Frage der Protokollsicherheit übertragbar</w:t>
      </w:r>
    </w:p>
    <w:p>
      <w:r>
        <w:rPr>
          <w:color w:val="5A7D3A"/>
          <w:sz w:val="18"/>
        </w:rPr>
        <w:t>https://pubmed.ncbi.nlm.nih.gov/42640631/</w:t>
      </w:r>
    </w:p>
    <w:p>
      <w:pPr>
        <w:pStyle w:val="Heading2"/>
      </w:pPr>
      <w:r>
        <w:t>Spezielles Endotrachealtubus-System reduziert mikrobielle Vermischung zwischen Atemwegsetagen bei Beatmung</w:t>
      </w:r>
    </w:p>
    <w:p>
      <w:r>
        <w:rPr>
          <w:i/>
          <w:color w:val="666666"/>
          <w:sz w:val="18"/>
        </w:rPr>
        <w:t>Pilkowski AE et al.  ·  Respir Res  ·  01.08.2026  ·  PMID 42571013</w:t>
      </w:r>
    </w:p>
    <w:p>
      <w:r>
        <w:t>Randomisierte Pilotstudie (n=50, 21 mit kompletten Daten) zum Vergleich eines Spezial-Endotrachealtubus (Venner PneuX®) mit permanenter Cuff-Druckkontrolle, subglottischer Absaugung und biofilm-resistenter Beschichtung gegenüber Standard-Intubation bezüglich mikrobieller Austausche zwischen Atemwegsetagen als indirektes Messkriterium für Mikroaspiration bei Beatmungs-assoziierter Pneumonie (VAP).</w:t>
      </w:r>
    </w:p>
    <w:p>
      <w:r>
        <w:rPr>
          <w:b/>
        </w:rPr>
        <w:t xml:space="preserve">Ergebnis: </w:t>
      </w:r>
      <w:r>
        <w:t>Standard-Intubation führte zu progressiver mikrobieller Konvergenz zwischen Tubus und Trachealsekreten (Morisita-Horn 0,55→0,30, p=0,001) sowie Divergenz der Lungenregionen (0,08→0,31, p=0,003). Im Venner-PneuX-Gruppe zeigten sich keine signifikanten Distanzänderungen. Die Ergebnisse bieten biologische Plausibilität für bisher berichtete VAP-Reduktionen mit diesem System.</w:t>
      </w:r>
    </w:p>
    <w:p>
      <w:r>
        <w:rPr>
          <w:b/>
          <w:sz w:val="19"/>
        </w:rPr>
        <w:t xml:space="preserve">Übertragbarkeit: </w:t>
      </w:r>
      <w:r>
        <w:rPr>
          <w:sz w:val="19"/>
        </w:rPr>
        <w:t>Deutschland, prospektive Pilotdaten für klinisch relevante Prävention; externe Validierung ausstehend</w:t>
      </w:r>
    </w:p>
    <w:p>
      <w:r>
        <w:rPr>
          <w:color w:val="5A7D3A"/>
          <w:sz w:val="18"/>
        </w:rPr>
        <w:t>https://pubmed.ncbi.nlm.nih.gov/42571013/</w:t>
      </w:r>
    </w:p>
    <w:p>
      <w:pPr>
        <w:pStyle w:val="Heading2"/>
      </w:pPr>
      <w:r>
        <w:t>Therapieunterbrechungsfehler an automatisierten Dialysegeräten: 49 Fehlertypen systematisch kategorisiert und gelöst</w:t>
      </w:r>
    </w:p>
    <w:p>
      <w:r>
        <w:rPr>
          <w:i/>
          <w:color w:val="666666"/>
          <w:sz w:val="18"/>
        </w:rPr>
        <w:t>Albert A et al.  ·  BMC Health Serv Res  ·  08.08.2026  ·  PMID 42571003</w:t>
      </w:r>
    </w:p>
    <w:p>
      <w:r>
        <w:t>Retrospektive Analyse von Systemfehlern an HomeChoice-Dialysegeräten (2015–2023) in einer deutschen Referenzklinik mit Ziel, Therapieunterbrechungen zu dokumentieren und lösungsorientierte Strategien für Pflegepersonal und Patienten bereitzustellen.</w:t>
      </w:r>
    </w:p>
    <w:p>
      <w:r>
        <w:rPr>
          <w:b/>
        </w:rPr>
        <w:t xml:space="preserve">Ergebnis: </w:t>
      </w:r>
      <w:r>
        <w:t>49 verschiedene Fehlertypen in 138 Zwischenfällen über 8 Jahre identifiziert und in 8 Kategorien eingeteilt: Druckkammer-assoziiert (21,74%), Luft im System (19,57%, Fehler 2240 in 17,39%), Digitalboard/EEPROM (17,39%), Energiesystem (16,67%), Türöffnung (7,25%), Heizung (4,35%), ungeklärt (12,32%). Gesamt-Fehlerrate: &lt;0,25% der Behandlungssitzungen. Konkrete Troubleshooting-Algorithmen für Personal und Patienten bereitgestellt.</w:t>
      </w:r>
    </w:p>
    <w:p>
      <w:r>
        <w:rPr>
          <w:b/>
          <w:sz w:val="19"/>
        </w:rPr>
        <w:t xml:space="preserve">Übertragbarkeit: </w:t>
      </w:r>
      <w:r>
        <w:rPr>
          <w:sz w:val="19"/>
        </w:rPr>
        <w:t>Deutschland, routinelle Klinikdaten, direkt übertragbar für Schulung und Herstellerkommunikation</w:t>
      </w:r>
    </w:p>
    <w:p>
      <w:r>
        <w:rPr>
          <w:color w:val="5A7D3A"/>
          <w:sz w:val="18"/>
        </w:rPr>
        <w:t>https://pubmed.ncbi.nlm.nih.gov/42571003/</w:t>
      </w:r>
    </w:p>
    <w:p>
      <w:pPr>
        <w:pStyle w:val="Heading2"/>
      </w:pPr>
      <w:r>
        <w:t>Präoperative Optimierung vor Hüftgelenksersatz: kein signifikanter Effekt auf Infektionen oder Mortalität</w:t>
      </w:r>
    </w:p>
    <w:p>
      <w:r>
        <w:rPr>
          <w:i/>
          <w:color w:val="666666"/>
          <w:sz w:val="18"/>
        </w:rPr>
        <w:t>Sigurdardottir M et al.  ·  BMJ Open  ·  06.08.2026  ·  PMID 42562582</w:t>
      </w:r>
    </w:p>
    <w:p>
      <w:r>
        <w:t>Prospektive quasi-experimentelle Studie mit 1484 Patienten (Interventionsgruppe n=746, Kontrollgruppe n=738) zur Auswirkung eines multifaktoriellen Optimierungsprogramms 6–12 Monate vor elektiven Gelenkersatzoperationen auf oberflächliche Wundinfektionen (SSI), periprosthetic joint infections (PJI) und Mortalität über 3 Jahre.</w:t>
      </w:r>
    </w:p>
    <w:p>
      <w:r>
        <w:rPr>
          <w:b/>
        </w:rPr>
        <w:t xml:space="preserve">Ergebnis: </w:t>
      </w:r>
      <w:r>
        <w:t>Oberflächliche SSI nach 1 Jahr: 5,9% vs. 7,9% (HR 0,67, 95%-KI 0,45–1,01, nicht signifikant). PJI: 2,0% vs. 1,1% (HR 1,80, 95%-KI 0,76–4,30, nicht signifikant). Keine signifikanten Unterschiede bei Mortalität oder postoperativer Gesundheit nach 3 Jahren. Die Interventionsgruppe war zu 77% während der COVID-19-Pandemie operiert worden versus 5% in der Kontrollgruppe.</w:t>
      </w:r>
    </w:p>
    <w:p>
      <w:r>
        <w:rPr>
          <w:b/>
          <w:sz w:val="19"/>
        </w:rPr>
        <w:t xml:space="preserve">Übertragbarkeit: </w:t>
      </w:r>
      <w:r>
        <w:rPr>
          <w:sz w:val="19"/>
        </w:rPr>
        <w:t>Island, Strukturen ähnlich deutschem Gesundheitswesen, klare Lessons-learned für Qualitätsinterventionen</w:t>
      </w:r>
    </w:p>
    <w:p>
      <w:r>
        <w:rPr>
          <w:color w:val="5A7D3A"/>
          <w:sz w:val="18"/>
        </w:rPr>
        <w:t>https://pubmed.ncbi.nlm.nih.gov/42562582/</w:t>
      </w:r>
    </w:p>
    <w:p>
      <w:pPr>
        <w:pStyle w:val="Heading1"/>
      </w:pPr>
      <w:r>
        <w:t>Aufgenommen am 26.08.2026</w:t>
      </w:r>
    </w:p>
    <w:p>
      <w:pPr>
        <w:pStyle w:val="Heading2"/>
      </w:pPr>
      <w:r>
        <w:t>Verzögerte Antibiotikaverordnung mit Entscheidungshilfe reduzierte unangemessene Anwendung um ein Drittel</w:t>
      </w:r>
    </w:p>
    <w:p>
      <w:r>
        <w:rPr>
          <w:i/>
          <w:color w:val="666666"/>
          <w:sz w:val="18"/>
        </w:rPr>
        <w:t>Sievert EDC et al.  ·  Appl Psychol Health Well Being  ·  Aug. 2026  ·  PMID 42568140</w:t>
      </w:r>
    </w:p>
    <w:p>
      <w:r>
        <w:t>Online-Experiment mit 663 britischen Erwachsenen zur Wirkung von WHO-Entscheidungshilfematerial auf verzögerte Antibiotikaverordnungen bei vermuteten Virusinfektionen unter Verhaltensanreizen.</w:t>
      </w:r>
    </w:p>
    <w:p>
      <w:r>
        <w:rPr>
          <w:b/>
        </w:rPr>
        <w:t xml:space="preserve">Ergebnis: </w:t>
      </w:r>
      <w:r>
        <w:t>Unangemessene Antibiotikaverwendung war in allen Entscheidungsunterstützungs-Bedingungen niedriger als in Kontrolle (p&lt;0,001, ηG²=0,02). Entscheidungskonflikt sank signifikant in Interventions-Armen (p&lt;0,001, ηG²=0,02) durch verbesserte Wertklarheit und wahrgenommene Unterstützung. Kombination aus Entscheidungshilfe, Wertintegration und aktivem Symptommonitoring zeigte beste Effekte.</w:t>
      </w:r>
    </w:p>
    <w:p>
      <w:r>
        <w:rPr>
          <w:b/>
          <w:sz w:val="19"/>
        </w:rPr>
        <w:t xml:space="preserve">Übertragbarkeit: </w:t>
      </w:r>
      <w:r>
        <w:rPr>
          <w:sz w:val="19"/>
        </w:rPr>
        <w:t>UK mit NHS-Struktur; Antibiotika-Stewardship-Prinzipien in Deutschland etabliert, Übertragbarkeit gut.</w:t>
      </w:r>
    </w:p>
    <w:p>
      <w:r>
        <w:rPr>
          <w:color w:val="5A7D3A"/>
          <w:sz w:val="18"/>
        </w:rPr>
        <w:t>https://pubmed.ncbi.nlm.nih.gov/42568140/</w:t>
      </w:r>
    </w:p>
    <w:p>
      <w:pPr>
        <w:pStyle w:val="Heading2"/>
      </w:pPr>
      <w:r>
        <w:t>Strukturiertes Infektionsrisiko-Assessment identifiziert 65 % der Patienten als gefährdet</w:t>
      </w:r>
    </w:p>
    <w:p>
      <w:r>
        <w:rPr>
          <w:i/>
          <w:color w:val="666666"/>
          <w:sz w:val="18"/>
        </w:rPr>
        <w:t>Luís TB et al.  ·  Front Public Health  ·  23.07.2026  ·  PMID 42564447</w:t>
      </w:r>
    </w:p>
    <w:p>
      <w:r>
        <w:t>Multizentrisches Querschnitts-Observatorium mit 1.092 hospitalisierten Erwachsenen in Portugal zur Prävalenz und Risikofaktoren für Infektionen mittels RAC-Skala (Risk Assessment for Infection).</w:t>
      </w:r>
    </w:p>
    <w:p>
      <w:r>
        <w:rPr>
          <w:b/>
        </w:rPr>
        <w:t xml:space="preserve">Ergebnis: </w:t>
      </w:r>
      <w:r>
        <w:t>Moderate (53,6 %) oder hohe (11,4 %) Infektionsrisiken nach Perzentil-Stratifikation. Höhere Risiken assoziiert mit Alter, Multimorbidität, beeinträchtigter Gewebsintegrität, reduzierter Mobilität, Vorspitalisierung, Verlegung, Liegedauer, invasiven Prozeduren. ROC-Analyse mit guter Diskriminierung; Medizin-Stationen hatten signifikant höhere Risikoscores als Chirurgie.</w:t>
      </w:r>
    </w:p>
    <w:p>
      <w:r>
        <w:rPr>
          <w:b/>
          <w:sz w:val="19"/>
        </w:rPr>
        <w:t xml:space="preserve">Übertragbarkeit: </w:t>
      </w:r>
      <w:r>
        <w:rPr>
          <w:sz w:val="19"/>
        </w:rPr>
        <w:t>Portugal/SÜDEUROPA mit ähnlichen Dokumentationssystemen; RAC-Skala als strukturiertes Instrument universell anwendbar.</w:t>
      </w:r>
    </w:p>
    <w:p>
      <w:r>
        <w:rPr>
          <w:color w:val="5A7D3A"/>
          <w:sz w:val="18"/>
        </w:rPr>
        <w:t>https://pubmed.ncbi.nlm.nih.gov/42564447/</w:t>
      </w:r>
    </w:p>
    <w:p>
      <w:pPr>
        <w:pStyle w:val="Heading1"/>
      </w:pPr>
      <w:r>
        <w:t>Aufgenommen am 25.08.2026</w:t>
      </w:r>
    </w:p>
    <w:p>
      <w:pPr>
        <w:pStyle w:val="Heading2"/>
      </w:pPr>
      <w:r>
        <w:t>Online-adaptive Radiotherapie: Systemische FMEA identifiziert 300 Fehlermöglichkeiten</w:t>
      </w:r>
    </w:p>
    <w:p>
      <w:r>
        <w:rPr>
          <w:i/>
          <w:color w:val="666666"/>
          <w:sz w:val="18"/>
        </w:rPr>
        <w:t>Balaji D et al.  ·  J Appl Clin Med Phys  ·  Sept. 2026  ·  PMID 42638337</w:t>
      </w:r>
    </w:p>
    <w:p>
      <w:r>
        <w:t>Systematische Literaturübersicht von 11 Studien analysiert Fehlermodi und deren Auswirkungen (FMEA) in Workflows der Online-Adaptive Radiotherapie (MR-guided, CBCT-guided, MR-enhanced C-arm Systeme).</w:t>
      </w:r>
    </w:p>
    <w:p>
      <w:r>
        <w:rPr>
          <w:b/>
        </w:rPr>
        <w:t xml:space="preserve">Ergebnis: </w:t>
      </w:r>
      <w:r>
        <w:t>300 einzigartige Fehlermodi identifiziert, 49,6% als hochriskant (Klasse III) klassifiziert. Hochriskante Fehler konzentrieren sich in Online-Behandlungs-Phase, besonders bei Mensch-Computer-Interaktion und anatomischer Konturierung. Analyse zeigt Heterogenität in Risiko-Bewertungsmethoden, harmonisiert zu 3er-Klassifikation (Class I: niedrig, II: mittel, III: hoch).</w:t>
      </w:r>
    </w:p>
    <w:p>
      <w:r>
        <w:rPr>
          <w:b/>
          <w:sz w:val="19"/>
        </w:rPr>
        <w:t xml:space="preserve">Übertragbarkeit: </w:t>
      </w:r>
      <w:r>
        <w:rPr>
          <w:sz w:val="19"/>
        </w:rPr>
        <w:t>Deutschland und Benelux, vergleichbare Qualitätsmanagementsysteme in klinischen Zentren</w:t>
      </w:r>
    </w:p>
    <w:p>
      <w:r>
        <w:rPr>
          <w:color w:val="5A7D3A"/>
          <w:sz w:val="18"/>
        </w:rPr>
        <w:t>https://pubmed.ncbi.nlm.nih.gov/42638337/</w:t>
      </w:r>
    </w:p>
    <w:p>
      <w:pPr>
        <w:pStyle w:val="Heading2"/>
      </w:pPr>
      <w:r>
        <w:t>Nosokomiale Ausbrüche in Hämatologie-Onkologie: Strukturierte Analyse identifiziert Risikofaktoren</w:t>
      </w:r>
    </w:p>
    <w:p>
      <w:r>
        <w:rPr>
          <w:i/>
          <w:color w:val="666666"/>
          <w:sz w:val="18"/>
        </w:rPr>
        <w:t>Posselt SL et al.  ·  BMC Infect Dis  ·  20.08.2026  ·  PMID 42638092</w:t>
      </w:r>
    </w:p>
    <w:p>
      <w:r>
        <w:t>Strukturierte Analyse von 196 nosokomialen Ausbrüchen in Hämatologie und Onkologie aus internationaler Datenbank mit Betrachtung von Infektionserregern, Übertragungswegen und implementierten Infektionskontrollmaßnahmen.</w:t>
      </w:r>
    </w:p>
    <w:p>
      <w:r>
        <w:rPr>
          <w:b/>
        </w:rPr>
        <w:t xml:space="preserve">Ergebnis: </w:t>
      </w:r>
      <w:r>
        <w:t>Blutstream- und untere Atemwegsinfektionen waren am häufigsten; Pseudomonas aeruginosa und Enterokokken als Haupterreger. Multivariable Analyse identifizierte als unabhängig assoziiert mit hohem Infektionskontrollaufwand: Pilzerreger (OR 6,26; KI 1,60–24,44), multiresistente Bakterien (OR 6,01; KI 2,56–14,09), antibiotische Therapie (OR 2,97; KI 1,05–8,38), ≥10 Patienten in Ausbruch (OR 2,54; KI 1,11–5,81), direkter Kontakttransfer (OR 3,42; KI 1,43–8,16). Untere Atemwegsinfektionen stark assoziiert mit Mortalität (OR 7,95; KI 2,06–30,73).</w:t>
      </w:r>
    </w:p>
    <w:p>
      <w:r>
        <w:rPr>
          <w:b/>
          <w:sz w:val="19"/>
        </w:rPr>
        <w:t xml:space="preserve">Übertragbarkeit: </w:t>
      </w:r>
      <w:r>
        <w:rPr>
          <w:sz w:val="19"/>
        </w:rPr>
        <w:t>Deutschland, vergleichbare Surveillance-Standards und Dokumentationspflichten</w:t>
      </w:r>
    </w:p>
    <w:p>
      <w:r>
        <w:rPr>
          <w:color w:val="5A7D3A"/>
          <w:sz w:val="18"/>
        </w:rPr>
        <w:t>https://pubmed.ncbi.nlm.nih.gov/42638092/</w:t>
      </w:r>
    </w:p>
    <w:p>
      <w:pPr>
        <w:pStyle w:val="Heading2"/>
      </w:pPr>
      <w:r>
        <w:t>Arzneimittelwechselwirkungen: Unterschiede zwischen Schweizer und österreichischem Meldesystem</w:t>
      </w:r>
    </w:p>
    <w:p>
      <w:r>
        <w:rPr>
          <w:i/>
          <w:color w:val="666666"/>
          <w:sz w:val="18"/>
        </w:rPr>
        <w:t>Rainer M et al.  ·  PLoS One  ·  21.08.2026  ·  PMID 42627821</w:t>
      </w:r>
    </w:p>
    <w:p>
      <w:r>
        <w:t>Retrospektive Analyse von 1499 Meldungen zu Arzneimittelwechselwirkungen in Pharmakvigilanz-Systemen der Schweiz (n=1159) und Österreich (n=340) zwischen 2008 und April 2024 mit Fokus auf Unterschiede in Meldevolumen, Qualität und Systemeigenheiten.</w:t>
      </w:r>
    </w:p>
    <w:p>
      <w:r>
        <w:rPr>
          <w:b/>
        </w:rPr>
        <w:t xml:space="preserve">Ergebnis: </w:t>
      </w:r>
      <w:r>
        <w:t>Schweiz meldete 3,4-mal mehr Fälle als Österreich (5,8 vs. 1,7 Fälle/Monat). 80% (CH) bzw. 84% (Ö) als schwerwiegend klassifiziert. Polypharmie stark assoziiert mit schwerwiegenden Folgen (CH: ROR 3,71; KI 3,26–4,23, p&lt;0,0001; Ö: ROR 1,98; KI 1,60–2,44, p&lt;0,0001). Unterschiede in Meldeinhalten: Schweiz eher Mechanismen, Österreich eher Symptome. Unterschiede deuten auf Rolle von Systemdesign und klinischer Pharmazie hin.</w:t>
      </w:r>
    </w:p>
    <w:p>
      <w:r>
        <w:rPr>
          <w:b/>
          <w:sz w:val="19"/>
        </w:rPr>
        <w:t xml:space="preserve">Übertragbarkeit: </w:t>
      </w:r>
      <w:r>
        <w:rPr>
          <w:sz w:val="19"/>
        </w:rPr>
        <w:t>DACH, vergleichbare Gesundheitssysteme und Pharmakvigilanz-Strukturen</w:t>
      </w:r>
    </w:p>
    <w:p>
      <w:r>
        <w:rPr>
          <w:color w:val="5A7D3A"/>
          <w:sz w:val="18"/>
        </w:rPr>
        <w:t>https://pubmed.ncbi.nlm.nih.gov/42627821/</w:t>
      </w:r>
    </w:p>
    <w:p>
      <w:pPr>
        <w:pStyle w:val="Heading2"/>
      </w:pPr>
      <w:r>
        <w:t>Antibiotic Stewardship bei Harnwegsinfektionen im Alter senkte Resistenzen</w:t>
      </w:r>
    </w:p>
    <w:p>
      <w:r>
        <w:rPr>
          <w:i/>
          <w:color w:val="666666"/>
          <w:sz w:val="18"/>
        </w:rPr>
        <w:t>Attauabi M et al.  ·  Euro Surveill  ·  Aug. 2026  ·  PMID 42626792</w:t>
      </w:r>
    </w:p>
    <w:p>
      <w:r>
        <w:t>Nationale Registerstudie in Dänemark (1999–2023) untersucht Zusammenhang zwischen Antibiotikaverbrauch und Resistenzentwicklung gegen Pivmecillinam, Trimethoprim, Nitrofurantoin und Sulfamethizol bei Patienten ≥70 Jahren; Fokus auf Qualitätsverbesserungen seit 2005.</w:t>
      </w:r>
    </w:p>
    <w:p>
      <w:r>
        <w:rPr>
          <w:b/>
        </w:rPr>
        <w:t xml:space="preserve">Ergebnis: </w:t>
      </w:r>
      <w:r>
        <w:t>Höchster Antibiotikaverbrauch 2014 (447 Rezepte pro 1000 Personen ≥70 Jahre), bis 2023 um 28,4% gesunken. Resistenz gegen alle vier Substanzen in E. coli und K. pneumoniae signifikant rückläufig 2018–2023. Stewardship-Intensivierung nach 2013 mit aktualisierten Leitlinien positiv auf Verbrauch und Resistenzen wirksam.</w:t>
      </w:r>
    </w:p>
    <w:p>
      <w:r>
        <w:rPr>
          <w:b/>
          <w:sz w:val="19"/>
        </w:rPr>
        <w:t xml:space="preserve">Übertragbarkeit: </w:t>
      </w:r>
      <w:r>
        <w:rPr>
          <w:sz w:val="19"/>
        </w:rPr>
        <w:t>Skandinavien, vergleichbare Surveillance-Infrastruktur und Stewardship-Rahmenbedingungen</w:t>
      </w:r>
    </w:p>
    <w:p>
      <w:r>
        <w:rPr>
          <w:color w:val="5A7D3A"/>
          <w:sz w:val="18"/>
        </w:rPr>
        <w:t>https://pubmed.ncbi.nlm.nih.gov/42626792/</w:t>
      </w:r>
    </w:p>
    <w:p>
      <w:pPr>
        <w:pStyle w:val="Heading2"/>
      </w:pPr>
      <w:r>
        <w:t>Nosokomiale Infektionen nach Gastrointestinal-Krebsoperation: Neoadjuvante Radiotherapie als Risikofaktor</w:t>
      </w:r>
    </w:p>
    <w:p>
      <w:r>
        <w:rPr>
          <w:i/>
          <w:color w:val="666666"/>
          <w:sz w:val="18"/>
        </w:rPr>
        <w:t>Fieraru IM et al.  ·  Front Public Health  ·  05.08.2026  ·  PMID 42620635</w:t>
      </w:r>
    </w:p>
    <w:p>
      <w:r>
        <w:t>Prospektive Beobachtungsstudie in rumänischem Zentrum (211 Patienten, Mai 2023–Juli 2024) an Magen- und Kolonkarzinom-Operationen: 30-Tage-Infektionen dokumentiert, Risikofaktoren analysiert, Antibiotikaresistenzprofil beschrieben.</w:t>
      </w:r>
    </w:p>
    <w:p>
      <w:r>
        <w:rPr>
          <w:b/>
        </w:rPr>
        <w:t xml:space="preserve">Ergebnis: </w:t>
      </w:r>
      <w:r>
        <w:t>15,6% entwickelten ≥1 nosokomiale Infektion (39 Episoden). Chirurgische Wundinfektionen dominant nach unterem GI-Trakt (~46%), Geräte-/Atemwegsinfektionen nach oberem Trakt (~38%). Neoadjuvante Radiotherapie unabhängiger Risikofaktor bei Kolonkarzinom (adj. OR 3,25; KI 1,15–9,19; p=0,026). Von 27 kulturpositiven Isolaten 44,4% multiresistent, einschließlich Carbapenemase-Produzenten; 36,4% Infektionen ohne Kulturdokumentation.</w:t>
      </w:r>
    </w:p>
    <w:p>
      <w:r>
        <w:rPr>
          <w:b/>
          <w:sz w:val="19"/>
        </w:rPr>
        <w:t xml:space="preserve">Übertragbarkeit: </w:t>
      </w:r>
      <w:r>
        <w:rPr>
          <w:sz w:val="19"/>
        </w:rPr>
        <w:t>Osteuropa, aber Infektionserkennung und Dokumentationslücken sind universell relevant</w:t>
      </w:r>
    </w:p>
    <w:p>
      <w:r>
        <w:rPr>
          <w:color w:val="5A7D3A"/>
          <w:sz w:val="18"/>
        </w:rPr>
        <w:t>https://pubmed.ncbi.nlm.nih.gov/42620635/</w:t>
      </w:r>
    </w:p>
    <w:p>
      <w:pPr>
        <w:pStyle w:val="Heading2"/>
      </w:pPr>
      <w:r>
        <w:t>Pediatrisches Trigger-Tool für Deutschsprachige Kinder identifiziert Schäden reliabel</w:t>
      </w:r>
    </w:p>
    <w:p>
      <w:r>
        <w:rPr>
          <w:i/>
          <w:color w:val="666666"/>
          <w:sz w:val="18"/>
        </w:rPr>
        <w:t>Peters A et al.  ·  Eur J Pediatr  ·  17.08.2026  ·  PMID 42608613</w:t>
      </w:r>
    </w:p>
    <w:p>
      <w:r>
        <w:t>Methodische Studie in deutscher Kinderkardiologie (200 stationäre Patienten) entwickelt und validiert das Paediatric Trigger Tool German (PAED-TT-GER) zur retrospektiven Erkennung unerwünschter Ereignisse in Kinderkrankenhäusern.</w:t>
      </w:r>
    </w:p>
    <w:p>
      <w:r>
        <w:rPr>
          <w:b/>
        </w:rPr>
        <w:t xml:space="preserve">Ergebnis: </w:t>
      </w:r>
      <w:r>
        <w:t>57 Trigger ausgewählt (54 Normalstation + 3 PICU). Interrater-Reliabilität gut (ICC 0,794; KI 0,557–0,906). In 200 Patienten 472 Trigger identifiziert (Mittel 2,36/Patient), 45 unerwünschte Ereignisse in 42/200 Patienten (21%) bestätigt. NCC-MERP-Klassifikation: 24 Ereignisse temporärer Schaden mit Intervention (E), 19 verlängerte Hospitalisierung (F), 2 permanenter Schaden (G); 7 (15,6%) präventabel bewertet.</w:t>
      </w:r>
    </w:p>
    <w:p>
      <w:r>
        <w:rPr>
          <w:b/>
          <w:sz w:val="19"/>
        </w:rPr>
        <w:t xml:space="preserve">Übertragbarkeit: </w:t>
      </w:r>
      <w:r>
        <w:rPr>
          <w:sz w:val="19"/>
        </w:rPr>
        <w:t>Deutsches Kinderkardiologie-Zentrum, unmittelbar auf deutsches System übertragbar</w:t>
      </w:r>
    </w:p>
    <w:p>
      <w:r>
        <w:rPr>
          <w:color w:val="5A7D3A"/>
          <w:sz w:val="18"/>
        </w:rPr>
        <w:t>https://pubmed.ncbi.nlm.nih.gov/42608613/</w:t>
      </w:r>
    </w:p>
    <w:p>
      <w:pPr>
        <w:pStyle w:val="Heading2"/>
      </w:pPr>
      <w:r>
        <w:t>Hand-Hygiene-Champion-Programm erhöht Compliance auf Intensivstationen signifikant</w:t>
      </w:r>
    </w:p>
    <w:p>
      <w:r>
        <w:rPr>
          <w:i/>
          <w:color w:val="666666"/>
          <w:sz w:val="18"/>
        </w:rPr>
        <w:t>Batalla MGA et al.  ·  Br J Nurs  ·  06.08.2026  ·  PMID 42555589</w:t>
      </w:r>
    </w:p>
    <w:p>
      <w:r>
        <w:t>Qualitätsverbesserungsprojekt in zwei britischen Universitätsklinika (Februar 2025–Februar 2026) implementiert Hand-Hygiene-Champion-Rolle und misst deren Effekt auf Händehygiene-Compliance in der Intensivmedizin mit Plan-Do-Study-Act-Zyklus.</w:t>
      </w:r>
    </w:p>
    <w:p>
      <w:r>
        <w:rPr>
          <w:b/>
        </w:rPr>
        <w:t xml:space="preserve">Ergebnis: </w:t>
      </w:r>
      <w:r>
        <w:t>Händehygiene-Compliance signifikant höher in Interventionsgruppe mit Champions als in Kontrollgruppe. Compliance stieg über Zeit signifikant post-Implementierung der Hand-Hygiene-Champions an. Programm zeigt Praktikabilität zur Verbesserung Händehygiene-Einhaltung in ICU.</w:t>
      </w:r>
    </w:p>
    <w:p>
      <w:r>
        <w:rPr>
          <w:b/>
          <w:sz w:val="19"/>
        </w:rPr>
        <w:t xml:space="preserve">Übertragbarkeit: </w:t>
      </w:r>
      <w:r>
        <w:rPr>
          <w:sz w:val="19"/>
        </w:rPr>
        <w:t>Vereinigtes Königreich, aber aktive Surveillance mit Peer-Coaching ist international übertragbar</w:t>
      </w:r>
    </w:p>
    <w:p>
      <w:r>
        <w:rPr>
          <w:color w:val="5A7D3A"/>
          <w:sz w:val="18"/>
        </w:rPr>
        <w:t>https://pubmed.ncbi.nlm.nih.gov/42555589/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Patientensicherheit</dc:title>
  <dc:subject/>
  <dc:creator>Monitor Versorgungsforschung</dc:creator>
  <cp:keywords/>
  <dc:description>generated by python-docx</dc:description>
  <cp:lastModifiedBy/>
  <cp:revision>1</cp:revision>
  <dcterms:created xsi:type="dcterms:W3CDTF">2026-10-18T06:00:00Z</dcterms:created>
  <dcterms:modified xsi:type="dcterms:W3CDTF">2026-10-18T06:00:00Z</dcterms:modified>
  <cp:category/>
</cp:coreProperties>
</file>