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22.08.2026  |  3 Studien  |  wissen.m-vf.de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Nosokomiale Infektionen und Antibiotikaresistenz im asiatischen Überwachungsnetz (ACORN-HAI)</w:t>
      </w:r>
    </w:p>
    <w:p>
      <w:r>
        <w:rPr>
          <w:i/>
          <w:color w:val="666666"/>
          <w:sz w:val="18"/>
        </w:rPr>
        <w:t>Mo Y et al.  ·  Lancet Infect Dis  ·  21.08.2026  ·  PMID 42628558</w:t>
      </w:r>
    </w:p>
    <w:p>
      <w:r>
        <w:t>Multinationale prospektive Kohortenstudie in 41 Krankenhäusern über 19 Länder in Asien zur Epidemiologie antimikrobieller Resistenz bei Healthcare-assoziierten Infektionen.</w:t>
      </w:r>
    </w:p>
    <w:p>
      <w:r>
        <w:rPr>
          <w:b/>
        </w:rPr>
        <w:t xml:space="preserve">Ergebnis: </w:t>
      </w:r>
      <w:r>
        <w:t>Von 9.642 analysierten Infektionsepisoden waren 73,7% mit resistenten Bakterien assoziiert. Gesamtsterblichkeit bei Gram-negativen Resistenzen: 37,7% (AMR) vs. 40,6% (Multiresistenz). Carbapenem-resistente Acinetobacter (CRA) und Enterobacterales (CRE) zeigten höchste Mortalität: CRA 51,3%, CRE 48,4%; attributable Mortalität CRA 19,4% (95% CI 14,1–24,7), CRE 16,2% (95% CI 12,8–19,6).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Asiatische Länder mit Ressourcenengpässen, aber Daten zur Antimikrobial Stewardship systemunabhängig relevant</w:t>
      </w:r>
    </w:p>
    <w:p>
      <w:r>
        <w:rPr>
          <w:color w:val="5A7D3A"/>
          <w:sz w:val="18"/>
        </w:rPr>
        <w:t>https://pubmed.ncbi.nlm.nih.gov/42628558/</w:t>
      </w:r>
    </w:p>
    <w:p>
      <w:pPr>
        <w:pStyle w:val="Heading2"/>
      </w:pPr>
      <w:r>
        <w:t>Auswirkungen von nationaler kognitiver Screening auf Demenzversorgung und Hospitalisierung in Südkorea</w:t>
      </w:r>
    </w:p>
    <w:p>
      <w:r>
        <w:rPr>
          <w:i/>
          <w:color w:val="666666"/>
          <w:sz w:val="18"/>
        </w:rPr>
        <w:t>Lim JH et al.  ·  Alzheimers Dement  ·  Aug. 2026  ·  PMID 42625505</w:t>
      </w:r>
    </w:p>
    <w:p>
      <w:r>
        <w:t>Südkorea: Kohortenstudie zur Auswirkung eines 2007 eingeführten nationalen kognitiven Screening-Programms auf nachfolgende Demenzversorgung und Hospitalisierung.</w:t>
      </w:r>
    </w:p>
    <w:p>
      <w:r>
        <w:rPr>
          <w:b/>
        </w:rPr>
        <w:t xml:space="preserve">Ergebnis: </w:t>
      </w:r>
      <w:r>
        <w:t>Kognitive Früherkennung war mit einer 37% höheren Wahrscheinlichkeit für Demenzbehandlung innerhalb von 2 Jahren (p&lt;0,001) und einem 12% niedrigerem Risiko für demenzbedingte Hospitalisierung innerhalb von 10 Jahren assoziiert. Baseline: 1,4% erhielten Demenzbehandlung, 3,0% wurden hospitalisiert.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Asiatisches System mit Screening-Struktur, aber steuerfinanziert - Fragestellung zur Frühdiagnose systemunabhängig relevant</w:t>
      </w:r>
    </w:p>
    <w:p>
      <w:r>
        <w:rPr>
          <w:color w:val="5A7D3A"/>
          <w:sz w:val="18"/>
        </w:rPr>
        <w:t>https://pubmed.ncbi.nlm.nih.gov/42625505/</w:t>
      </w:r>
    </w:p>
    <w:p>
      <w:pPr>
        <w:pStyle w:val="Heading2"/>
      </w:pPr>
      <w:r>
        <w:t>Nutzerbewertung KI-generierter und menschlicher Antworten in digitaler Gesundheitskommunikation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Deutschland: Paired-Survey-Studie, in der Nutzer ChatGPT-4-generierte und von einem Physiotherapeuten verfasste Antworten auf Gesundheitsfragen vergleichend bewerteten.</w:t>
      </w:r>
    </w:p>
    <w:p>
      <w:r>
        <w:rPr>
          <w:b/>
        </w:rPr>
        <w:t xml:space="preserve">Ergebnis: </w:t>
      </w:r>
      <w:r>
        <w:t>Über die meisten Kriterien hinweg wurde die KI-Antwort besser bewertet als die menschliche, besonders bei Empathie und Verständlichkeit (alle p&lt;0,001). Expert-Rating favorisierte auch die KI-Antwort in Bezug auf Richtigkeit und Vollständigkeit, obwohl Längen und Struktur differierten. Teilnehmerzahl n=224.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in Healthcare-System kontextualisiert; Aussage zu Nutzerpräferenz systemabhängig, aber zur Kommunikationsqualität relevant</w:t>
      </w:r>
    </w:p>
    <w:p>
      <w:r>
        <w:rPr>
          <w:color w:val="5A7D3A"/>
          <w:sz w:val="18"/>
        </w:rPr>
        <w:t>https://pubmed.ncbi.nlm.nih.gov/42618915/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