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737360" cy="459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f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45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51A1"/>
          <w:sz w:val="19"/>
        </w:rPr>
        <w:t>Ein Service des Knowledge-Hubs von Monitor Versorgungsforschung. Täglich automatisiert KI-kuratiert aus PubMed und auf Deutsch übersetzt.</w:t>
      </w:r>
    </w:p>
    <w:p>
      <w:pPr>
        <w:pStyle w:val="Title"/>
      </w:pPr>
      <w:r>
        <w:t>Neueste Studien - Versorgungsforschung</w:t>
      </w:r>
    </w:p>
    <w:p>
      <w:r>
        <w:rPr>
          <w:i/>
          <w:color w:val="666666"/>
          <w:sz w:val="18"/>
        </w:rPr>
        <w:t>Stand: 31.10.2026  |  7 Studien  |  wissen.m-vf.de</w:t>
      </w:r>
    </w:p>
    <w:p>
      <w:pPr>
        <w:pStyle w:val="Heading1"/>
      </w:pPr>
      <w:r>
        <w:t>Aufgenommen am 31.10.2026</w:t>
      </w:r>
    </w:p>
    <w:p>
      <w:pPr>
        <w:pStyle w:val="Heading2"/>
      </w:pPr>
      <w:r>
        <w:t>Kardiologen-Workload und Leitlinien-Therapie bei Herzinsuffizienz</w:t>
      </w:r>
    </w:p>
    <w:p>
      <w:r>
        <w:rPr>
          <w:i/>
          <w:color w:val="666666"/>
          <w:sz w:val="18"/>
        </w:rPr>
        <w:t>Mukhopadhyay A et al.  ·  J Am Heart Assoc  ·  30.10.2026  ·  PMID 42960833</w:t>
      </w:r>
    </w:p>
    <w:p>
      <w:r>
        <w:t>Querschnittsstudie untersuchte, ob höhere tägliche Patientenzahl von Kardiologen mit weniger Verschreibung von leitliniengerechter Vierfach-Medikation bei reduzierter Ejektionsfraktion verbunden ist.</w:t>
      </w:r>
    </w:p>
    <w:p>
      <w:r>
        <w:rPr>
          <w:b/>
        </w:rPr>
        <w:t xml:space="preserve">Ergebnis: </w:t>
      </w:r>
      <w:r>
        <w:t>Bei 40.173 Patienten, betreut von 881 Kardiologen (Median 9,1 Patienten/Tag): Leitliniengerechte Vierfach-Therapie war höher in Quartil 1 (14%) vs. Quartil 4 (7,4%, p&lt;0,001). Im adjustierten Modell hatte Quartil 1 höhere Odds (aOR 1,35; 95% CI 1,09–1,66) vs. Quartil 4. Höhere tägliche Workload war mit schlechterer Verschreibungspraxis assoziiert.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US-Daten zu Versorgungsorganisation, systemunabhängige Fragestellung zu Zeitmangel</w:t>
      </w:r>
    </w:p>
    <w:p>
      <w:r>
        <w:rPr>
          <w:color w:val="5A7D3A"/>
          <w:sz w:val="18"/>
        </w:rPr>
        <w:t>https://pubmed.ncbi.nlm.nih.gov/42960833/</w:t>
      </w:r>
    </w:p>
    <w:p>
      <w:pPr>
        <w:pStyle w:val="Heading2"/>
      </w:pPr>
      <w:r>
        <w:t>Klinische und psychosoziale Faktoren bei Hybrid- vs. Präsenzbetreuung chronisch Kranker</w:t>
      </w:r>
    </w:p>
    <w:p>
      <w:r>
        <w:rPr>
          <w:i/>
          <w:color w:val="666666"/>
          <w:sz w:val="18"/>
        </w:rPr>
        <w:t>Saldarriaga-Bedoya K et al.  ·  Prim Health Care Res Dev  ·  30.10.2026  ·  PMID 42960832</w:t>
      </w:r>
    </w:p>
    <w:p>
      <w:r>
        <w:t>Retrospektive Kohortenstudie zur ärztlichen Allokation von 638 Patienten mit Hypertonie/Diabetes/Dyslipidämie zu Hybrid- oder Präsenzbetreuung und deren Zusammenhang mit Baseline-Charakteristika und 3-Jahres-Outcomes.</w:t>
      </w:r>
    </w:p>
    <w:p>
      <w:r>
        <w:rPr>
          <w:b/>
        </w:rPr>
        <w:t xml:space="preserve">Ergebnis: </w:t>
      </w:r>
      <w:r>
        <w:t>Hybrid-Allokation war assoziiert mit höherem HbA1c (aOR 2,68 pro 1% Anstieg; 95% CI 2,17–3,31) und schlechterer Medikamenten-Adhärenz (aOR 1,96; 95% CI 1,17–3,28), aber invers mit höherer Schulbildung. Nach 3 Jahren: Hybrid-Care zeigte höhere Therapiezielrate (OR 7,34; 95% CI 4,96–10,86) und weniger notfallmäßige Besuche (OR 0,53; 95% CI 0,36–0,79).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Sozialversicherungssystem Kolumbien, ähnliche Fragestellung wie deutsches System</w:t>
      </w:r>
    </w:p>
    <w:p>
      <w:r>
        <w:rPr>
          <w:color w:val="5A7D3A"/>
          <w:sz w:val="18"/>
        </w:rPr>
        <w:t>https://pubmed.ncbi.nlm.nih.gov/42960832/</w:t>
      </w:r>
    </w:p>
    <w:p>
      <w:pPr>
        <w:pStyle w:val="Heading2"/>
      </w:pPr>
      <w:r>
        <w:t>Forschungsengagement von Hausärzten: Evidenzbasierte Ansätze</w:t>
      </w:r>
    </w:p>
    <w:p>
      <w:r>
        <w:rPr>
          <w:i/>
          <w:color w:val="666666"/>
          <w:sz w:val="18"/>
        </w:rPr>
        <w:t>Low JTS et al.  ·  J Prim Care Community Health  ·  30.10.2026  ·  PMID 42960689</w:t>
      </w:r>
    </w:p>
    <w:p>
      <w:r>
        <w:t>Dreiphasiges mixed-methods-Projekt zur Identifikation von Barrieren und Facilitators für Hausarzt-Forschungsbeteiligung in Südwestlondon und Entwicklung lokaler Strategien.</w:t>
      </w:r>
    </w:p>
    <w:p>
      <w:r>
        <w:rPr>
          <w:b/>
        </w:rPr>
        <w:t xml:space="preserve">Ergebnis: </w:t>
      </w:r>
      <w:r>
        <w:t>Phase 1 (Literaturreview) und Phase 2 (19 Interviews mit Hausärzten) identifizierten strukturelle, motivationale und relationale Barrieren (fehlende Schutzzeit, Finanzierung, Administrationsunterstützung, schlechte Studieninformation) und Facilitators (klinische Prioritäten-Alignment, Skillentwicklung, organisationales Support). Phase 3 (Workshop): Vier strategische Handlungsfelder definiert – Sichtbarkeit &amp; Forschungskultur, Kommunikation, nachhaltige Rekrutierungskapazität, Inklusion unterversorgter Gruppen.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UK-System, aber Prozessqualität und Patientenperspektive auf Deutschland übertragbar</w:t>
      </w:r>
    </w:p>
    <w:p>
      <w:r>
        <w:rPr>
          <w:color w:val="5A7D3A"/>
          <w:sz w:val="18"/>
        </w:rPr>
        <w:t>https://pubmed.ncbi.nlm.nih.gov/42960689/</w:t>
      </w:r>
    </w:p>
    <w:p>
      <w:pPr>
        <w:pStyle w:val="Heading2"/>
      </w:pPr>
      <w:r>
        <w:t>Erkennung von Stauungspapille in der Hausarztpraxis</w:t>
      </w:r>
    </w:p>
    <w:p>
      <w:r>
        <w:rPr>
          <w:i/>
          <w:color w:val="666666"/>
          <w:sz w:val="18"/>
        </w:rPr>
        <w:t>Skrobot OA et al.  ·  BMJ Open  ·  29.10.2026  ·  PMID 42957307</w:t>
      </w:r>
    </w:p>
    <w:p>
      <w:r>
        <w:t>Mixed-Methods-Querschnittsstudie zur Identifikation von Stauungspapillen durch Hausärzte in England.</w:t>
      </w:r>
    </w:p>
    <w:p>
      <w:r>
        <w:rPr>
          <w:b/>
        </w:rPr>
        <w:t xml:space="preserve">Ergebnis: </w:t>
      </w:r>
      <w:r>
        <w:t>Konkrete Ergebnisse zur diagnostischen Genauigkeit, Häufigkeit und klinischen Bedeutung werden berichtet; Studie dokumentiert Erkennungshäufigkeit und ärztliche Herausforderungen bei dieser Diagnose.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England, steuerfinanziert aber gutes Qualitätsbeispiel für Primärversorgung</w:t>
      </w:r>
    </w:p>
    <w:p>
      <w:r>
        <w:rPr>
          <w:color w:val="5A7D3A"/>
          <w:sz w:val="18"/>
        </w:rPr>
        <w:t>https://pubmed.ncbi.nlm.nih.gov/42957307/</w:t>
      </w:r>
    </w:p>
    <w:p>
      <w:pPr>
        <w:pStyle w:val="Heading2"/>
      </w:pPr>
      <w:r>
        <w:t>Indikatoren für Qualität in palliativer Versorgung am Lebensende</w:t>
      </w:r>
    </w:p>
    <w:p>
      <w:r>
        <w:rPr>
          <w:i/>
          <w:color w:val="666666"/>
          <w:sz w:val="18"/>
        </w:rPr>
        <w:t>Paredes-Coronel C et al.  ·  Front Public Health  ·  13.10.2026  ·  PMID 42948309</w:t>
      </w:r>
    </w:p>
    <w:p>
      <w:r>
        <w:t>Narrative Review identifizierte konzeptuelle Domänen von Qualität in palliativer Versorgung und entwickelte einen Rahmen zu deren Operationalisierung für Messung.</w:t>
      </w:r>
    </w:p>
    <w:p>
      <w:r>
        <w:rPr>
          <w:b/>
        </w:rPr>
        <w:t xml:space="preserve">Ergebnis: </w:t>
      </w:r>
      <w:r>
        <w:t>19 Studien analysiert; sechs konsistente Qualitätsdomänen identifiziert: Kommunikation und Shared Decision Making, Symptommanagement, psychosozial-spirituale Unterstützung, Respekt vor Patientenpräferenzen, spezialisierte Palliativversorgung, Vermeidung nicht-nutzbringender Interventionen. Framework verbindet konzeptuelle mit operationalen Indikatoren; methodische Validierung erforderlich.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Multnationale Perspektive, Qualitätsmessung systemunabhängig</w:t>
      </w:r>
    </w:p>
    <w:p>
      <w:r>
        <w:rPr>
          <w:color w:val="5A7D3A"/>
          <w:sz w:val="18"/>
        </w:rPr>
        <w:t>https://pubmed.ncbi.nlm.nih.gov/42948309/</w:t>
      </w:r>
    </w:p>
    <w:p>
      <w:pPr>
        <w:pStyle w:val="Heading2"/>
      </w:pPr>
      <w:r>
        <w:t>Globale Last ungeplanter Vergiftungen 1990–2023</w:t>
      </w:r>
    </w:p>
    <w:p>
      <w:r>
        <w:rPr>
          <w:i/>
          <w:color w:val="666666"/>
          <w:sz w:val="18"/>
        </w:rPr>
        <w:t>GBD 2023 Unintentional Poisoning Collaborators  ·  Lancet Public Health  ·  27.10.2026  ·  PMID 42945982</w:t>
      </w:r>
    </w:p>
    <w:p>
      <w:r>
        <w:t>Global-Burden-of-Disease-Analyse quantifizierte Morbidität, Mortalität und DALYs ungeplanter Vergiftungen (Kohlenmonoxid und andere Substanzen) nach Region und SDI-Kategorie.</w:t>
      </w:r>
    </w:p>
    <w:p>
      <w:r>
        <w:rPr>
          <w:b/>
        </w:rPr>
        <w:t xml:space="preserve">Ergebnis: </w:t>
      </w:r>
      <w:r>
        <w:t>2023: 2,54 Mio. Vergiftungsfälle, 69.805 Todesfälle, 3,68 Mio. DALYs global. Kohlenmonoxid: 641.932 Fälle, 30.890 Todesfälle, 1,34 Mio. DALYs. Andere Mittel: 1,90 Mio. Fälle, 38.914 Todesfälle, 2,34 Mio. DALYs. DALY-Rate seit 1990 um 47,5% gesunken; Kohlenmonoxid um 58,2%. Mortalität invers zu SDI; höchste Fallsterblichkeit in niedrig-SDI-Ländern.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Systemunabhängige Public-Health-Surveillance, relevante Outcome-Definitionen</w:t>
      </w:r>
    </w:p>
    <w:p>
      <w:r>
        <w:rPr>
          <w:color w:val="5A7D3A"/>
          <w:sz w:val="18"/>
        </w:rPr>
        <w:t>https://pubmed.ncbi.nlm.nih.gov/42945982/</w:t>
      </w:r>
    </w:p>
    <w:p>
      <w:pPr>
        <w:pStyle w:val="Heading2"/>
      </w:pPr>
      <w:r>
        <w:t>Gesundheitsbezogene Lebensqualität bei metabolisch-assoziierter Steatohepatitis</w:t>
      </w:r>
    </w:p>
    <w:p>
      <w:r>
        <w:rPr>
          <w:i/>
          <w:color w:val="666666"/>
          <w:sz w:val="18"/>
        </w:rPr>
        <w:t>Shumbayawonda E et al.  ·  Qual Life Res  ·  22.10.2026  ·  PMID 42911297</w:t>
      </w:r>
    </w:p>
    <w:p>
      <w:r>
        <w:t>Multinationale RCT (Deutschland, Niederlande, Portugal, UK) mit 802 MASLD/MASH-Patienten; EQ-5D-5L zu vier Zeitpunkten erhoben und mit multiparametrischer MRI assoziiert.</w:t>
      </w:r>
    </w:p>
    <w:p>
      <w:r>
        <w:rPr>
          <w:b/>
        </w:rPr>
        <w:t xml:space="preserve">Ergebnis: </w:t>
      </w:r>
      <w:r>
        <w:t>MASH-Patienten (cT1 ≥800ms) berichteten geringere Lebensqualität in allen EQ-5D-Dimensionen vs. MASLD. Baseline-Utilities 0,81–0,90, Monat 12: 0,82–0,90. Hochrisiko-MASH (cT1 ≥875ms): 12% höhere Beschwerden. Steigende cT1 um 80ms = 0,023-Punkte Utility-Abnahme (p=0,039). Steigende cT1 mit 29% höheren Odds für Angst/Depression (p&lt;0,05).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Niederlande, Deutschland beteiligt; Sozialversicherungssysteme, direkt übertragbar</w:t>
      </w:r>
    </w:p>
    <w:p>
      <w:r>
        <w:rPr>
          <w:color w:val="5A7D3A"/>
          <w:sz w:val="18"/>
        </w:rPr>
        <w:t>https://pubmed.ncbi.nlm.nih.gov/42911297/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Neueste Studien - Versorgungsforschung</dc:title>
  <dc:subject/>
  <dc:creator>Monitor Versorgungsforschung</dc:creator>
  <cp:keywords/>
  <dc:description>generated by python-docx</dc:description>
  <cp:lastModifiedBy/>
  <cp:revision>1</cp:revision>
  <dcterms:created xsi:type="dcterms:W3CDTF">2026-10-31T06:00:00Z</dcterms:created>
  <dcterms:modified xsi:type="dcterms:W3CDTF">2026-10-31T06:00:00Z</dcterms:modified>
  <cp:category/>
</cp:coreProperties>
</file>