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28.09.2026  |  6 Studien  |  wissen.m-vf.de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Wirksamkeit familienorientierter Intervention für Kinder psychisch erkrankter Eltern</w:t>
      </w:r>
    </w:p>
    <w:p>
      <w:r>
        <w:rPr>
          <w:i/>
          <w:color w:val="666666"/>
          <w:sz w:val="18"/>
        </w:rPr>
        <w:t>Paumen T et al.  ·  Child Adolesc Psychiatry Ment Health  ·  25.09.2026  ·  PMID 42800877</w:t>
      </w:r>
    </w:p>
    <w:p>
      <w:r>
        <w:t>Cluster-randomisierte Studie zur Wirksamkeit des CHIMPS-Programms (psychodynamische transdiagnostische Familienintervention) auf psychische Gesundheit und Lebensqualität bei 215 Kindern psychisch erkrankter Eltern in Deutschland und der Schweiz.</w:t>
      </w:r>
    </w:p>
    <w:p>
      <w:r>
        <w:rPr>
          <w:b/>
        </w:rPr>
        <w:t xml:space="preserve">Ergebnis: </w:t>
      </w:r>
      <w:r>
        <w:t>Odds Ratio 0,52 (95%-KI: 0,25-1,09) für diagnostische Remission in der Interventionsgruppe versus Kontrollgruppe – statistisch nicht signifikant. Keine klinisch relevanten Unterschiede in Sekundäroutcomes (Verhaltensauffälligkeiten, Lebensqualität). Geringe Erreichbarkeit und Adhärenz der Zielgruppe erschwerten 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 aus Universitätskliniken, gesetzlich versicherte Population</w:t>
      </w:r>
    </w:p>
    <w:p>
      <w:r>
        <w:rPr>
          <w:color w:val="5A7D3A"/>
          <w:sz w:val="18"/>
        </w:rPr>
        <w:t>https://pubmed.ncbi.nlm.nih.gov/42800877/</w:t>
      </w:r>
    </w:p>
    <w:p>
      <w:pPr>
        <w:pStyle w:val="Heading2"/>
      </w:pPr>
      <w:r>
        <w:t>Tamil-Validierung des Diabetes Quality-of-Life Brief Clinical Inventory</w:t>
      </w:r>
    </w:p>
    <w:p>
      <w:r>
        <w:rPr>
          <w:i/>
          <w:color w:val="666666"/>
          <w:sz w:val="18"/>
        </w:rPr>
        <w:t>Darshana N et al.  ·  BMC Health Serv Res  ·  14.09.2026  ·  PMID 42791544</w:t>
      </w:r>
    </w:p>
    <w:p>
      <w:r>
        <w:t>Kulturelle Adaptation und Validierung eines Instruments zur Messung der diabetesspezifischen Lebensqualität bei tamilsprachigen Erwachsenen mit Typ-2-Diabetes in Sri Lanka (n=165).</w:t>
      </w:r>
    </w:p>
    <w:p>
      <w:r>
        <w:rPr>
          <w:b/>
        </w:rPr>
        <w:t xml:space="preserve">Ergebnis: </w:t>
      </w:r>
      <w:r>
        <w:t>Cronbachs α=0,682, signifikante negative Korrelation mit WHOQOL-BREF (r=-0,559, p&lt;0,001), signifikant niedrigere Lebensqualität bei Patienten mit Mikrovaskularisierungskomplikationen (p=0,040). KMO=0,729, Faktorenanalyse erklärt 72% der Gesamtvarianz.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begrenzt: Südasiatische Bevölkerung, anderes Gesundheitssystem</w:t>
      </w:r>
    </w:p>
    <w:p>
      <w:r>
        <w:rPr>
          <w:color w:val="5A7D3A"/>
          <w:sz w:val="18"/>
        </w:rPr>
        <w:t>https://pubmed.ncbi.nlm.nih.gov/42791544/</w:t>
      </w:r>
    </w:p>
    <w:p>
      <w:pPr>
        <w:pStyle w:val="Heading2"/>
      </w:pPr>
      <w:r>
        <w:t>Gesundheitskompetenz und Versorgungsintegration bei Kindern mit Spezialversorgungsbedarfen</w:t>
      </w:r>
    </w:p>
    <w:p>
      <w:r>
        <w:rPr>
          <w:i/>
          <w:color w:val="666666"/>
          <w:sz w:val="18"/>
        </w:rPr>
        <w:t>Skoss R et al.  ·  BMC Health Serv Res  ·  11.08.2026  ·  PMID 42791541</w:t>
      </w:r>
    </w:p>
    <w:p>
      <w:r>
        <w:t>Querschnittstudie zur Beziehung zwischen Gesundheitskompetenz von Eltern, Erfahrungen mit Versorgungsintegration und Elternbelastung bei 126 australischen Eltern von Kindern mit Spezialversorgungsbedarfen.</w:t>
      </w:r>
    </w:p>
    <w:p>
      <w:r>
        <w:rPr>
          <w:b/>
        </w:rPr>
        <w:t xml:space="preserve">Ergebnis: </w:t>
      </w:r>
      <w:r>
        <w:t>Clusteranalyse identifizierte drei Gesundheitskompetenz-Profile; höhere Kompetenz assoziiert mit besseren Erfahrungen bei Versorgungsintegration und niedrigerem Elternstress. Mehrheitlich Eltern mit Behinderungs-(53,7%) und Atemwegserkrankungen (38,9%) vertreten.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Steuerfinanziert, englischsprachig – begrenzte Übertragbarkeit auf deutsches SV-System</w:t>
      </w:r>
    </w:p>
    <w:p>
      <w:r>
        <w:rPr>
          <w:color w:val="5A7D3A"/>
          <w:sz w:val="18"/>
        </w:rPr>
        <w:t>https://pubmed.ncbi.nlm.nih.gov/42791541/</w:t>
      </w:r>
    </w:p>
    <w:p>
      <w:pPr>
        <w:pStyle w:val="Heading2"/>
      </w:pPr>
      <w:r>
        <w:t>Zivilgesellschaftliche Organisationen in Gesundheitsversorgung für Migranten auf der Balkanroute</w:t>
      </w:r>
    </w:p>
    <w:p>
      <w:r>
        <w:rPr>
          <w:i/>
          <w:color w:val="666666"/>
          <w:sz w:val="18"/>
        </w:rPr>
        <w:t>Link F et al.  ·  Int J Equity Health  ·  24.09.2026  ·  PMID 42791536</w:t>
      </w:r>
    </w:p>
    <w:p>
      <w:r>
        <w:t>Qualitative Studie mit 15 CSO-Mitarbeitern aus 11 Ländern (März–Mai 2024) zu Barrieren, Erleichterungen und Rollen von Zivilgesellschaft bei Gesundheitsversorgung für Menschen in Migrationsprozessen.</w:t>
      </w:r>
    </w:p>
    <w:p>
      <w:r>
        <w:rPr>
          <w:b/>
        </w:rPr>
        <w:t xml:space="preserve">Ergebnis: </w:t>
      </w:r>
      <w:r>
        <w:t>Vier Hauptkategorien identifiziert: fragmentierte Migrationspolitik, begrenzte Systemkapazitäten, Diskriminierung und Rechtsbarrieren. CSO erfüllen kritische Lückenfüllungsfunktion durch Mediation und Advocacy; jedoch chronische Finanzierungsunsicherheit, Personalengpässe und ethische Spannungen. Vertrauen zwischen CSO, Gesundheitssystem und Behörden essentiell.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Kontext (11 Länder), Mehrländer-Perspektive – Migrationsstrukturen relevant</w:t>
      </w:r>
    </w:p>
    <w:p>
      <w:r>
        <w:rPr>
          <w:color w:val="5A7D3A"/>
          <w:sz w:val="18"/>
        </w:rPr>
        <w:t>https://pubmed.ncbi.nlm.nih.gov/42791536/</w:t>
      </w:r>
    </w:p>
    <w:p>
      <w:pPr>
        <w:pStyle w:val="Heading2"/>
      </w:pPr>
      <w:r>
        <w:t>Präklinische Halswirbelimmobilisierung und Mortalität bei Traumapatienten</w:t>
      </w:r>
    </w:p>
    <w:p>
      <w:r>
        <w:rPr>
          <w:i/>
          <w:color w:val="666666"/>
          <w:sz w:val="18"/>
        </w:rPr>
        <w:t>Häske D et al.  ·  World J Emerg Surg  ·  22.09.2026  ·  PMID 42786484</w:t>
      </w:r>
    </w:p>
    <w:p>
      <w:r>
        <w:t>Retrospektive Beobachtungsstudie aus deutschem Traumaregister (TraumaRegister DGU, 2020–2022) mit Propensity-Score-Matching zu Effekt präklinischer Halswirbelimmobilisierung auf Krankenhausmortalität und neurologische Outcomes (n=31.055, davon 16.922 gematched).</w:t>
      </w:r>
    </w:p>
    <w:p>
      <w:r>
        <w:rPr>
          <w:b/>
        </w:rPr>
        <w:t xml:space="preserve">Ergebnis: </w:t>
      </w:r>
      <w:r>
        <w:t>Mortalität gematched: 12,0% mit Immobilisierung vs. 13,6% ohne (p=0,001), kein klinisch bedeutsamer Unterschied. Bei bestätigter Halswirbelverletztung (n=1.362): Mortalität 17,9% vs. 18,2% (p=0,888), Glasgow Outcome Scale zeigt kein signifikanten Unterschied. GCS-Verbesserung Einsatzstelle-Hospital marginal höher mit Immobilisierung (15,7% vs. 12,8%,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aus standardisiertem Traumaregister, System vergleichbar</w:t>
      </w:r>
    </w:p>
    <w:p>
      <w:r>
        <w:rPr>
          <w:color w:val="5A7D3A"/>
          <w:sz w:val="18"/>
        </w:rPr>
        <w:t>https://pubmed.ncbi.nlm.nih.gov/42786484/</w:t>
      </w:r>
    </w:p>
    <w:p>
      <w:pPr>
        <w:pStyle w:val="Heading2"/>
      </w:pPr>
      <w:r>
        <w:t>Empagliflozin-Effekte auf kardiovaskuläre Outcomes in sociodemografischen Subgruppen</w:t>
      </w:r>
    </w:p>
    <w:p>
      <w:r>
        <w:rPr>
          <w:i/>
          <w:color w:val="666666"/>
          <w:sz w:val="18"/>
        </w:rPr>
        <w:t>Cromer SJ et al.  ·  Diabetes Care  ·  21.09.2026  ·  PMID 42765974</w:t>
      </w:r>
    </w:p>
    <w:p>
      <w:r>
        <w:t>Real-World-Analyse aus US-Medicare-Daten (2014–2020) zur Heterogenität der Effekte von Empagliflozin auf MACE, Herzinsuffizienz-Hospitalisierung und Mortalität bei älteren Erwachsenen mit Typ-2-Diabetes (n propensity-matched: 16.922).</w:t>
      </w:r>
    </w:p>
    <w:p>
      <w:r>
        <w:rPr>
          <w:b/>
        </w:rPr>
        <w:t xml:space="preserve">Ergebnis: </w:t>
      </w:r>
      <w:r>
        <w:t>Empagliflozin vs. DPP4-Inhibitoren: MACE HR 0,77 (99,9%-KI 0,69–0,85, IRD –10,3), HHF HR 0,72 (0,67–0,79, IRD –18,3), Mortalität HR 0,66 (0,57–0,76, IRD –8,6). Konsistente Effekte über sociodemografische Gruppen, höherer absoluter Nutzen mit prävalenter kardiovaskulärer 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 – Fragestellung aber systemunabhängig, kardiometabolisch relevant</w:t>
      </w:r>
    </w:p>
    <w:p>
      <w:r>
        <w:rPr>
          <w:color w:val="5A7D3A"/>
          <w:sz w:val="18"/>
        </w:rPr>
        <w:t>https://pubmed.ncbi.nlm.nih.gov/42765974/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