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25.09.2026  |  6 Studien  |  wissen.m-vf.de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Morbiditäten und Infektionen bei MS-Patienten in niederländischen Hausarztpraxen</w:t>
      </w:r>
    </w:p>
    <w:p>
      <w:r>
        <w:rPr>
          <w:i/>
          <w:color w:val="666666"/>
          <w:sz w:val="18"/>
        </w:rPr>
        <w:t>Lemmens CMC et al.  ·  Mult Scler Relat Disord  ·  14.09.2026  ·  PMID 42785001</w:t>
      </w:r>
    </w:p>
    <w:p>
      <w:r>
        <w:t>Retrospektive Fall-Kontroll-Studie zu Begleiterkrankungen und Infektionsraten bei MS-Patienten versus Kontrollpersonen in niederländischen Primärversorgungspraxen (Nivel-Datenbank 2019).</w:t>
      </w:r>
    </w:p>
    <w:p>
      <w:r>
        <w:rPr>
          <w:b/>
        </w:rPr>
        <w:t xml:space="preserve">Ergebnis: </w:t>
      </w:r>
      <w:r>
        <w:t>MS-Patienten zeigten höhere Lebenszeitprävalenz chronischer Erkrankungen (insbesondere Osteoporose, Schlaganfall, Epilepsie); jährliche Infektionsrate OR 1,86 (95%-KI 1,73–1,99). CCI-Scores ≥2 und ≥1 Infektionsepisode waren mit erhöhter 5-Jahres-Mortalität assoziiert (aHR 3,30 bzw. 1,68).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Primärversorgungsdaten; vergleichbares Sozialversicherungssystem</w:t>
      </w:r>
    </w:p>
    <w:p>
      <w:r>
        <w:rPr>
          <w:color w:val="5A7D3A"/>
          <w:sz w:val="18"/>
        </w:rPr>
        <w:t>https://pubmed.ncbi.nlm.nih.gov/42785001/</w:t>
      </w:r>
    </w:p>
    <w:p>
      <w:pPr>
        <w:pStyle w:val="Heading2"/>
      </w:pPr>
      <w:r>
        <w:t>Patientenperspektiven auf Apotheker-gesteuertes Hypertonie-Management nach Notaufnahme</w:t>
      </w:r>
    </w:p>
    <w:p>
      <w:r>
        <w:rPr>
          <w:i/>
          <w:color w:val="666666"/>
          <w:sz w:val="18"/>
        </w:rPr>
        <w:t>Kuhn D et al.  ·  Am J Health Syst Pharm  ·  24.09.2026  ·  PMID 42781767</w:t>
      </w:r>
    </w:p>
    <w:p>
      <w:r>
        <w:t>Qualitative Studie mit 11 Patienten aus urban-akademischer Notaufnahme zur Akzeptanz von Apotheker-gesteuerter Hypertonie-Nachbetreuung nach Entlassung.</w:t>
      </w:r>
    </w:p>
    <w:p>
      <w:r>
        <w:rPr>
          <w:b/>
        </w:rPr>
        <w:t xml:space="preserve">Ergebnis: </w:t>
      </w:r>
      <w:r>
        <w:t>Vier Themen: (1) begrenzte Hypertonie-Kommunikation, Wissenslücken; (2) Technologie mindert Barrieren; (3) Apotheker-Expertise akzeptiert, aber Unsicherheit zu Qualifikation/Verschreibungsrecht; (4) Wert von Kontinuität und Arzt-Apotheker-Zusammenarbeit.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Fragestellung zu Prozessen/Patientenperspektive teilweise übertragbar</w:t>
      </w:r>
    </w:p>
    <w:p>
      <w:r>
        <w:rPr>
          <w:color w:val="5A7D3A"/>
          <w:sz w:val="18"/>
        </w:rPr>
        <w:t>https://pubmed.ncbi.nlm.nih.gov/42781767/</w:t>
      </w:r>
    </w:p>
    <w:p>
      <w:pPr>
        <w:pStyle w:val="Heading2"/>
      </w:pPr>
      <w:r>
        <w:t>Referenzpreise beeinflussen Kostenanalysen in gesundheitsökonomischen Evaluationen</w:t>
      </w:r>
    </w:p>
    <w:p>
      <w:r>
        <w:rPr>
          <w:i/>
          <w:color w:val="666666"/>
          <w:sz w:val="18"/>
        </w:rPr>
        <w:t>Hoelen TA et al.  ·  Int J Technol Assess Health Care  ·  24.09.2026  ·  PMID 42779108</w:t>
      </w:r>
    </w:p>
    <w:p>
      <w:r>
        <w:t>Empirischer Vergleich der Auswirkungen nationaler Preisrichtlinien auf Kostenanalysen von Gesundheitstechnologien anhand idiopathischer Skoliose in Niederlanden und Großbritannien.</w:t>
      </w:r>
    </w:p>
    <w:p>
      <w:r>
        <w:rPr>
          <w:b/>
        </w:rPr>
        <w:t xml:space="preserve">Ergebnis: </w:t>
      </w:r>
      <w:r>
        <w:t>Niederländische Kostenestimate stiegen um 18% nach Richtlinien-Update 2014–2024; UK-Kosten waren 69% höher als in NL. Zwölf niederländische Kostenposten änderten sich um &gt;10%, vier britische – deutliche Methodenvariation zwischen Ländern.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Vereinigtes Königreich; zentrale Erkenntnisse zu Übertragbarkeitsgrenzen</w:t>
      </w:r>
    </w:p>
    <w:p>
      <w:r>
        <w:rPr>
          <w:color w:val="5A7D3A"/>
          <w:sz w:val="18"/>
        </w:rPr>
        <w:t>https://pubmed.ncbi.nlm.nih.gov/42779108/</w:t>
      </w:r>
    </w:p>
    <w:p>
      <w:pPr>
        <w:pStyle w:val="Heading2"/>
      </w:pPr>
      <w:r>
        <w:t>Regionale Demenz-Strategie durch Delphi-Prozess: Sachsen-Anhalt</w:t>
      </w:r>
    </w:p>
    <w:p>
      <w:r>
        <w:rPr>
          <w:i/>
          <w:color w:val="666666"/>
          <w:sz w:val="18"/>
        </w:rPr>
        <w:t>Schiller C et al.  ·  BMC Health Serv Res  ·  22.09.2026  ·  PMID 42778917</w:t>
      </w:r>
    </w:p>
    <w:p>
      <w:r>
        <w:t>Partizipative, zweiphasige Methode (Delphi + deliberative Dialoge) zur Entwicklung einer regionalen Demenz-Strategie mit 406 Teilnehmern (Betroffene, Angehörige, Fachkräfte, Politiker).</w:t>
      </w:r>
    </w:p>
    <w:p>
      <w:r>
        <w:rPr>
          <w:b/>
        </w:rPr>
        <w:t xml:space="preserve">Ergebnis: </w:t>
      </w:r>
      <w:r>
        <w:t>88 initiale Ziele; 47 erreichten Konsens in Runde 1, 21 weitere in Runde 2, 7 durch Dialoge validiert. Finale Strategie: 40 strategische Ziele in vier Themenbereichen. Identifizierte Hürden: Fachkräftemangel, Bürokratie, Angehörigen-Belastung.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(Sachsen-Anhalt); direkter Übertrag auf Versorgungsplanung</w:t>
      </w:r>
    </w:p>
    <w:p>
      <w:r>
        <w:rPr>
          <w:color w:val="5A7D3A"/>
          <w:sz w:val="18"/>
        </w:rPr>
        <w:t>https://pubmed.ncbi.nlm.nih.gov/42778917/</w:t>
      </w:r>
    </w:p>
    <w:p>
      <w:pPr>
        <w:pStyle w:val="Heading2"/>
      </w:pPr>
      <w:r>
        <w:t>Ökonomische Evaluation von Prävention gegen Langzeiterkrankschreibung</w:t>
      </w:r>
    </w:p>
    <w:p>
      <w:r>
        <w:rPr>
          <w:i/>
          <w:color w:val="666666"/>
          <w:sz w:val="18"/>
        </w:rPr>
        <w:t>Klasen S et al.  ·  J Occup Rehabil  ·  23.09.2026  ·  PMID 42778834</w:t>
      </w:r>
    </w:p>
    <w:p>
      <w:r>
        <w:t>Gesundheitsökonomische Analyse einer Früh-Interventionsstrategie gegen Langzeitausfallrisiko basierend auf RCT-Daten mit 12-Monats-Follow-up in Niederlanden.</w:t>
      </w:r>
    </w:p>
    <w:p>
      <w:r>
        <w:rPr>
          <w:b/>
        </w:rPr>
        <w:t xml:space="preserve">Ergebnis: </w:t>
      </w:r>
      <w:r>
        <w:t>Aus Arbeitgeber-Perspektive dominant (€–3,92/Punkt Selbstempfundene-Gesundheit-Verbesserung mit Kostenersparnis durch reduzierte Krankschreibung). Aus Gesellschafts- und Gesundheitswesen-Perspektive: ICER €39,19–39,77/Punkt.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Sozialversicherungssystem, Arbeitsmedizin-Fokus</w:t>
      </w:r>
    </w:p>
    <w:p>
      <w:r>
        <w:rPr>
          <w:color w:val="5A7D3A"/>
          <w:sz w:val="18"/>
        </w:rPr>
        <w:t>https://pubmed.ncbi.nlm.nih.gov/42778834/</w:t>
      </w:r>
    </w:p>
    <w:p>
      <w:pPr>
        <w:pStyle w:val="Heading2"/>
      </w:pPr>
      <w:r>
        <w:t>Kosteneffektivität von endoskopischer Schlauchmagen-Bildung in Singapur</w:t>
      </w:r>
    </w:p>
    <w:p>
      <w:r>
        <w:rPr>
          <w:i/>
          <w:color w:val="666666"/>
          <w:sz w:val="18"/>
        </w:rPr>
        <w:t>Chay J et al.  ·  Surg Obes Relat Dis  ·  28.08.2026  ·  PMID 42767913</w:t>
      </w:r>
    </w:p>
    <w:p>
      <w:r>
        <w:t>Markov-Modell zur Lebenszeitanalyse von endoskopischer Schlauchmagen-Bildung plus Lebensstiländerung versus alleinige Lebensstiländerung bei Adipositas.</w:t>
      </w:r>
    </w:p>
    <w:p>
      <w:r>
        <w:rPr>
          <w:b/>
        </w:rPr>
        <w:t xml:space="preserve">Ergebnis: </w:t>
      </w:r>
      <w:r>
        <w:t>ICER SG$24.580/QALY (US$18.410). Für Patienten ohne T2D: SG$19.320/QALY; mit T2D: SG$37.320/QALY. Bei Schwelle SG$75.000/QALY kosteneffektiv in 98,8% probabilistischer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Singapur-Kontext, andere Kostenstrukturen; Fragestellung aber systemunabhängig</w:t>
      </w:r>
    </w:p>
    <w:p>
      <w:r>
        <w:rPr>
          <w:color w:val="5A7D3A"/>
          <w:sz w:val="18"/>
        </w:rPr>
        <w:t>https://pubmed.ncbi.nlm.nih.gov/42767913/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