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01.10.2026  |  6 Studien  |  wissen.m-vf.de</w:t>
      </w:r>
    </w:p>
    <w:p>
      <w:pPr>
        <w:pStyle w:val="Heading1"/>
      </w:pPr>
      <w:r>
        <w:t>Aufgenommen am 01.10.2026</w:t>
      </w:r>
    </w:p>
    <w:p>
      <w:pPr>
        <w:pStyle w:val="Heading2"/>
      </w:pPr>
      <w:r>
        <w:t>Psychometric validation of German Self-efficacy Scale in hip arthroplasty patients</w:t>
      </w:r>
    </w:p>
    <w:p>
      <w:r>
        <w:rPr>
          <w:i/>
          <w:color w:val="666666"/>
          <w:sz w:val="18"/>
        </w:rPr>
        <w:t>Mooiweer Y et al.  ·  Z Evid Fortbild Qual Gesundhwes  ·  30.09.2026  ·  PMID 42816197</w:t>
      </w:r>
    </w:p>
    <w:p>
      <w:r>
        <w:t>Studie validierte die German Self-efficacy Expectation Scale (SES-G) als Messinstrument für Selbsteffizienz bei Patienten mit Hüftgelenksersatz.</w:t>
      </w:r>
    </w:p>
    <w:p>
      <w:r>
        <w:rPr>
          <w:b/>
        </w:rPr>
        <w:t xml:space="preserve">Ergebnis: </w:t>
      </w:r>
      <w:r>
        <w:t>Exploratory Faktor-Analyse zeigte 3 Komponenten, erklärt 75% der Varianz; interne Konsistenz (MacDonald's Omega = 0,81) und Test-Retest-Reliabilität (ICC 0,71) waren gut; 80% der Hypothesen zur Konstruktvalidität bestätigt. SES-G ist valides und reliables Instrument.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validierte Messskala für deutschsprachige Patienten</w:t>
      </w:r>
    </w:p>
    <w:p>
      <w:r>
        <w:rPr>
          <w:color w:val="5A7D3A"/>
          <w:sz w:val="18"/>
        </w:rPr>
        <w:t>https://pubmed.ncbi.nlm.nih.gov/42816197/</w:t>
      </w:r>
    </w:p>
    <w:p>
      <w:pPr>
        <w:pStyle w:val="Heading2"/>
      </w:pPr>
      <w:r>
        <w:t>Quality improvement für Familienplanung im Wochenbett in Äthiopien</w:t>
      </w:r>
    </w:p>
    <w:p>
      <w:r>
        <w:rPr>
          <w:i/>
          <w:color w:val="666666"/>
          <w:sz w:val="18"/>
        </w:rPr>
        <w:t>Tesfaye B et al.  ·  BMJ Open Qual  ·  30.09.2026  ·  PMID 42816055</w:t>
      </w:r>
    </w:p>
    <w:p>
      <w:r>
        <w:t>Qualitätsverbesserungsprojekt mit PDSA-Zyklen zur Steigerung der unmittelbaren postpartalen Familienplanung in einem äthiopischen Lehrkrankenhaus.</w:t>
      </w:r>
    </w:p>
    <w:p>
      <w:r>
        <w:rPr>
          <w:b/>
        </w:rPr>
        <w:t xml:space="preserve">Ergebnis: </w:t>
      </w:r>
      <w:r>
        <w:t>Uptake der postpartalen Familienplanung stieg von 10,2% auf 45,8% über 14 Wochen; Implantate waren die häufigste Methode (54,2%); Hürden waren mangelhafte Beratung, begrenzte Fortbildung und schlechte Dokumentation.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 übertragbar, Gesundheitssystem mit stark unterschiedlicher Ressourcenlage</w:t>
      </w:r>
    </w:p>
    <w:p>
      <w:r>
        <w:rPr>
          <w:color w:val="5A7D3A"/>
          <w:sz w:val="18"/>
        </w:rPr>
        <w:t>https://pubmed.ncbi.nlm.nih.gov/42816055/</w:t>
      </w:r>
    </w:p>
    <w:p>
      <w:pPr>
        <w:pStyle w:val="Heading2"/>
      </w:pPr>
      <w:r>
        <w:t>Generative KI-Adoption in psychotherapeutischer Praxis</w:t>
      </w:r>
    </w:p>
    <w:p>
      <w:r>
        <w:rPr>
          <w:i/>
          <w:color w:val="666666"/>
          <w:sz w:val="18"/>
        </w:rPr>
        <w:t>Blease C et al.  ·  JMIR Ment Health  ·  30.09.2026  ·  PMID 42815888</w:t>
      </w:r>
    </w:p>
    <w:p>
      <w:r>
        <w:t>Internationale Querschnittsstudie zu aktueller Nutzung von Generative-AI-Tools (ChatGPT, Gemini, Copilot) durch Psychotherapeuten in 30 Ländern.</w:t>
      </w:r>
    </w:p>
    <w:p>
      <w:r>
        <w:rPr>
          <w:b/>
        </w:rPr>
        <w:t xml:space="preserve">Ergebnis: </w:t>
      </w:r>
      <w:r>
        <w:t>54,6% (n=418/766) nutzen mindestens ein GenAI-Tool klinisch; ChatGPT am häufigsten (84,7%); Top-Anwendungen: Behandlungsplanung (41,9%), Administrative Aufgaben (41,4%), Psychoedukation (39,7%); 82,8% berichten Arbeitsbelastungsreduktion; nur 18,1% erhielten institutionelle Förderung; 81,1% erhielten keine AI-Fortbildung.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Systemunabhängig, Fachfrage zu Technologieeinsatz in Praxis global relevant</w:t>
      </w:r>
    </w:p>
    <w:p>
      <w:r>
        <w:rPr>
          <w:color w:val="5A7D3A"/>
          <w:sz w:val="18"/>
        </w:rPr>
        <w:t>https://pubmed.ncbi.nlm.nih.gov/42815888/</w:t>
      </w:r>
    </w:p>
    <w:p>
      <w:pPr>
        <w:pStyle w:val="Heading2"/>
      </w:pPr>
      <w:r>
        <w:t>Discrete Choice Experiment zu Präferenzen für Carrier Screening in Singapur</w:t>
      </w:r>
    </w:p>
    <w:p>
      <w:r>
        <w:rPr>
          <w:i/>
          <w:color w:val="666666"/>
          <w:sz w:val="18"/>
        </w:rPr>
        <w:t>Blythe R et al.  ·  Patient  ·  30.09.2026  ·  PMID 42814378</w:t>
      </w:r>
    </w:p>
    <w:p>
      <w:r>
        <w:t>Stated-Preference-Studie mit 500 Singapurern zu bevorzugten Merkmalen eines nationalen Carrier-Screening-Programms für genetische Erkrankungen.</w:t>
      </w:r>
    </w:p>
    <w:p>
      <w:r>
        <w:rPr>
          <w:b/>
        </w:rPr>
        <w:t xml:space="preserve">Ergebnis: </w:t>
      </w:r>
      <w:r>
        <w:t>Bevorzugte niedrigere Kosten, breitere Krankheitspanels und kürzere Wartezeiten; vorhergesagte Uptake 85-90% kostenlos, 61-69% bei Zuzahlung von $1.200; nationale Budgetauswirkungen &lt;$13,1 Mio./Jahr abhängig von Programmdesign.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Singapur, transferierbar für Screening-Programmgestaltung in ähnlichen Systemen</w:t>
      </w:r>
    </w:p>
    <w:p>
      <w:r>
        <w:rPr>
          <w:color w:val="5A7D3A"/>
          <w:sz w:val="18"/>
        </w:rPr>
        <w:t>https://pubmed.ncbi.nlm.nih.gov/42814378/</w:t>
      </w:r>
    </w:p>
    <w:p>
      <w:pPr>
        <w:pStyle w:val="Heading2"/>
      </w:pPr>
      <w:r>
        <w:t>Migräne-Versorgungslücke: qualitative Patientenperspektive</w:t>
      </w:r>
    </w:p>
    <w:p>
      <w:r>
        <w:rPr>
          <w:i/>
          <w:color w:val="666666"/>
          <w:sz w:val="18"/>
        </w:rPr>
        <w:t>Göbel CH et al.  ·  Pain Ther  ·  30.09.2026  ·  PMID 42814346</w:t>
      </w:r>
    </w:p>
    <w:p>
      <w:r>
        <w:t>Qualitative reflexive thematische Analyse von 446 Instagram/Facebook-Kommentaren zur Wahrnehmung von Migräne-Versorgung über 12 Jahre.</w:t>
      </w:r>
    </w:p>
    <w:p>
      <w:r>
        <w:rPr>
          <w:b/>
        </w:rPr>
        <w:t xml:space="preserve">Ergebnis: </w:t>
      </w:r>
      <w:r>
        <w:t>Patienten bestätigen medizinische Fortschritte (Migräne-spezifische Therapien, CGRP-Inhibitoren, spezialisierte Services), erleben diese aber als unvollständig umgesetzt; persistente Barrieren: Diagnoseverzögerung, ungleicher Zugang zu Spezialisten, Rückerstattungsbeschränkungen, Stigma, begrenzte gesellschaftliche Anerkennung. Kernkonzept: Migraine Care Gap zwischen biomedizinischer Innovation und Versorgungspraxis.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Versorgungsforschung zu Patientenerleben von Innovationstransfer</w:t>
      </w:r>
    </w:p>
    <w:p>
      <w:r>
        <w:rPr>
          <w:color w:val="5A7D3A"/>
          <w:sz w:val="18"/>
        </w:rPr>
        <w:t>https://pubmed.ncbi.nlm.nih.gov/42814346/</w:t>
      </w:r>
    </w:p>
    <w:p>
      <w:pPr>
        <w:pStyle w:val="Heading2"/>
      </w:pPr>
      <w:r>
        <w:t>Kontextfaktoren und depressive Symptome: Postleitzahl-Datenverknüpfung in Deutschland</w:t>
      </w:r>
    </w:p>
    <w:p>
      <w:r>
        <w:rPr>
          <w:i/>
          <w:color w:val="666666"/>
          <w:sz w:val="18"/>
        </w:rPr>
        <w:t>Schoenweger P et al.  ·  Eur Arch Psychiatry Clin Neurosci  ·  30.09.2026  ·  PMID 42814112</w:t>
      </w:r>
    </w:p>
    <w:p>
      <w:r>
        <w:t>Querschnittsstudie, die individuelle POKAL-Umfragedaten (n=2.323) mit deutschen Routinedaten auf Postleitzahl-Ebene zu Depression verknüpfte.</w:t>
      </w:r>
    </w:p>
    <w:p>
      <w:r>
        <w:rPr>
          <w:b/>
        </w:rPr>
        <w:t xml:space="preserve">Ergebnis: </w:t>
      </w:r>
      <w:r>
        <w:t>Kontextfaktoren verbesserten Modellfit (AICc=13.640,80 vs. 13.718,24 nur Demografie); Area-level Deprivation zeigte beste einzelne Anpassung; Datenverknüpfung ist ressourcenschonend und technisch umsetzbar in German health research infrastructure. Räumliche Auflösung entscheidend für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gesetzlich Versicherte, Versorgungsforschungs-Infrastruktur</w:t>
      </w:r>
    </w:p>
    <w:p>
      <w:r>
        <w:rPr>
          <w:color w:val="5A7D3A"/>
          <w:sz w:val="18"/>
        </w:rPr>
        <w:t>https://pubmed.ncbi.nlm.nih.gov/42814112/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2026-10-01T06:00:00Z</dcterms:created>
  <dcterms:modified xsi:type="dcterms:W3CDTF">2026-10-01T06:00:00Z</dcterms:modified>
  <cp:category/>
</cp:coreProperties>
</file>