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29.08.2026  |  6 Studien  |  wissen.m-vf.de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Palliative Reasoning in multiprofessioneller Palliativversorgung implementieren</w:t>
      </w:r>
    </w:p>
    <w:p>
      <w:r>
        <w:rPr>
          <w:i/>
          <w:color w:val="666666"/>
          <w:sz w:val="18"/>
        </w:rPr>
        <w:t>Kochems K et al.  ·  PLoS One  ·  28.08.2026  ·  PMID 42664250</w:t>
      </w:r>
    </w:p>
    <w:p>
      <w:r>
        <w:t>Niederländische Studie zur iterativen Anpassung und Implementierung einer integrierten Intervention (Palliative Reasoning Working Method) in Primärversorgung, Hospizen und Pflegeheimen.</w:t>
      </w:r>
    </w:p>
    <w:p>
      <w:r>
        <w:rPr>
          <w:b/>
        </w:rPr>
        <w:t xml:space="preserve">Ergebnis: </w:t>
      </w:r>
      <w:r>
        <w:t>Palliative Reasoning wurde in 20 multiprofessionellen Teams erfolgreich implementiert. Es zeigte Verbesserungen bei Erkennung von Palliativbedarfen, patientenzentrierter Versorgung, Pflegekompetenz und Teamzusammenarbeit. 14 Inhaltsadaptationen und 7 Unterstützungsmaterialien wurden entwickelt. Integration in elektronische Gesundheitsakten und organisatorische Verankerung waren entscheidend für Nachhaltigkeit.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Sozialversicherungssystem, multiprofessionelle Strukturen</w:t>
      </w:r>
    </w:p>
    <w:p>
      <w:r>
        <w:rPr>
          <w:color w:val="5A7D3A"/>
          <w:sz w:val="18"/>
        </w:rPr>
        <w:t>https://pubmed.ncbi.nlm.nih.gov/42664250/</w:t>
      </w:r>
    </w:p>
    <w:p>
      <w:pPr>
        <w:pStyle w:val="Heading2"/>
      </w:pPr>
      <w:r>
        <w:t>Medicare Advantage und Nierenerkrankung im Endstadium nach Cures Act</w:t>
      </w:r>
    </w:p>
    <w:p>
      <w:r>
        <w:rPr>
          <w:i/>
          <w:color w:val="666666"/>
          <w:sz w:val="18"/>
        </w:rPr>
        <w:t>Cai ST et al.  ·  Health Serv Res  ·  Okt. 2026  ·  PMID 42663502</w:t>
      </w:r>
    </w:p>
    <w:p>
      <w:r>
        <w:t>US-Studie zur Veränderung der MA-Versichertenpopulation mit Nierenerkrankung im Endstadium nach Ausweitung der MA-Zulassung 2021 mittels Unterbruchszeitreihentechnik.</w:t>
      </w:r>
    </w:p>
    <w:p>
      <w:r>
        <w:rPr>
          <w:b/>
        </w:rPr>
        <w:t xml:space="preserve">Ergebnis: </w:t>
      </w:r>
      <w:r>
        <w:t>Nach der Politikänderung waren MA-Versicherte mit Nierenerkrankung im Endstadium jünger, hatten niedrigere Komorbiditätsbelastung, aber niedrigeres Einkommen. Hospitalisierungsraten sank unmittelbar um 0,013 pro Versicherter-Monat (6 % relativer Rückgang; 95%-KI: -0,022 bis -0,003; 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US-Daten, fragmentiertes System mit Medicaid/Medicare, eingeschränkt übertragbar</w:t>
      </w:r>
    </w:p>
    <w:p>
      <w:r>
        <w:rPr>
          <w:color w:val="5A7D3A"/>
          <w:sz w:val="18"/>
        </w:rPr>
        <w:t>https://pubmed.ncbi.nlm.nih.gov/42663502/</w:t>
      </w:r>
    </w:p>
    <w:p>
      <w:pPr>
        <w:pStyle w:val="Heading2"/>
      </w:pPr>
      <w:r>
        <w:t>Persistenz geburtshilflicher Versorgungsabsenz in US-Counties 2015–2023</w:t>
      </w:r>
    </w:p>
    <w:p>
      <w:r>
        <w:rPr>
          <w:i/>
          <w:color w:val="666666"/>
          <w:sz w:val="18"/>
        </w:rPr>
        <w:t>Laternser C  ·  Health Serv Res  ·  Okt. 2026  ·  PMID 42663181</w:t>
      </w:r>
    </w:p>
    <w:p>
      <w:r>
        <w:t>Longitudinale Panelstudie der Persistenz und Übergangsdynamik fehlender geburtshilflicher Dienste in 3144 US-Counties mit Analysen von Übergangswahrscheinlichkeiten und Prävalenztrends.</w:t>
      </w:r>
    </w:p>
    <w:p>
      <w:r>
        <w:rPr>
          <w:b/>
        </w:rPr>
        <w:t xml:space="preserve">Ergebnis: </w:t>
      </w:r>
      <w:r>
        <w:t>Geburtshilfliche Serviceabsenz war hochgradig persistent (Prevalenz stabil bei 34,2 %). Bevölkerungsexposition sank (6,5 % auf 5,3 % der Frauen 15–44 Jahre in Counties ohne Services). Jährliche Übergänge waren selten (Eintritt ≤ 0,4 %; Austritt ≤ 0,9 %). Bedingte Verweilwahrscheinlichkeiten ≥ 0,991.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sehr dezentrales System; Frage aber für Strukturplanung relevant</w:t>
      </w:r>
    </w:p>
    <w:p>
      <w:r>
        <w:rPr>
          <w:color w:val="5A7D3A"/>
          <w:sz w:val="18"/>
        </w:rPr>
        <w:t>https://pubmed.ncbi.nlm.nih.gov/42663181/</w:t>
      </w:r>
    </w:p>
    <w:p>
      <w:pPr>
        <w:pStyle w:val="Heading2"/>
      </w:pPr>
      <w:r>
        <w:t>Naturgestützte Social Prescribing gegen Einsamkeit und Lebensqualität</w:t>
      </w:r>
    </w:p>
    <w:p>
      <w:r>
        <w:rPr>
          <w:i/>
          <w:color w:val="666666"/>
          <w:sz w:val="18"/>
        </w:rPr>
        <w:t>Coll-Planas L et al.  ·  Lancet Reg Health Eur  ·  18.08.2026  ·  PMID 42662493</w:t>
      </w:r>
    </w:p>
    <w:p>
      <w:r>
        <w:t>Randomisierte kontrollierte Studie in Barcelona zu natur- und gruppenbasierter sozialer Verschreibung (Friends in Nature) bei gefährdeten städtischen Erwachsenen versus aktive Signposting.</w:t>
      </w:r>
    </w:p>
    <w:p>
      <w:r>
        <w:rPr>
          <w:b/>
        </w:rPr>
        <w:t xml:space="preserve">Ergebnis: </w:t>
      </w:r>
      <w:r>
        <w:t>320 Teilnehmer (78% weiblich; Medianalter 62,8 Jahre) randomisiert. Bei 3 Monaten zeigten beide Gruppen signifikante Einsamkeitsreduktion um 10,5 % (Gesamtmittelwertänderung: -0,73; 95%-KI -1,04 bis -0,42), kein signifikanter Unterschied zwischen Gruppen (0,30; 95%-KI -0,26 bis 0,86; p = 0,296). Keine HRQoL-Veränderung.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EU-Sozialversicherung, städtischer Kontext mit Deprivation</w:t>
      </w:r>
    </w:p>
    <w:p>
      <w:r>
        <w:rPr>
          <w:color w:val="5A7D3A"/>
          <w:sz w:val="18"/>
        </w:rPr>
        <w:t>https://pubmed.ncbi.nlm.nih.gov/42662493/</w:t>
      </w:r>
    </w:p>
    <w:p>
      <w:pPr>
        <w:pStyle w:val="Heading2"/>
      </w:pPr>
      <w:r>
        <w:t>Patientensicherheitskultur in integrierten Gesundheits- und Sozialdiensten (Finnland)</w:t>
      </w:r>
    </w:p>
    <w:p>
      <w:r>
        <w:rPr>
          <w:i/>
          <w:color w:val="666666"/>
          <w:sz w:val="18"/>
        </w:rPr>
        <w:t>Hult M et al.  ·  BMJ Open Qual  ·  27.08.2026  ·  PMID 42660605</w:t>
      </w:r>
    </w:p>
    <w:p>
      <w:r>
        <w:t>Querschnittstudie zur Patientensicherheitskultur in 2623 Mitarbeitern von Krankenhaus-, Sozial- und Altenpflegediensten in finnischer Wellbeing Services County mittels SOPS 2.0 und Net Safety Score.</w:t>
      </w:r>
    </w:p>
    <w:p>
      <w:r>
        <w:rPr>
          <w:b/>
        </w:rPr>
        <w:t xml:space="preserve">Ergebnis: </w:t>
      </w:r>
      <w:r>
        <w:t>Teamwork erhielt höchste positive Bewertungen (71,1 %), Übergaben und Informationsaustausch niedrigste (22,6 %). Altenpflegedienste zeigten konsistent niedrigere Werte. Teamwork, Besetzung, Arbeitsgeschwindigkeit und organisatorisches Lernen waren stärkste NSS-Prädiktoren. Gesamtpositiv-NSS: 52,6 %. Regressionsmodelle erklärten 47,4 % (Krankenhaus), 47,0 % (Altenpflege) und 35,8 % (Sozial/Gesundheit) der NSS-Varianz.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steuerfinanziert, aber auf integrierte Versorgungskultur übertragbar</w:t>
      </w:r>
    </w:p>
    <w:p>
      <w:r>
        <w:rPr>
          <w:color w:val="5A7D3A"/>
          <w:sz w:val="18"/>
        </w:rPr>
        <w:t>https://pubmed.ncbi.nlm.nih.gov/42660605/</w:t>
      </w:r>
    </w:p>
    <w:p>
      <w:pPr>
        <w:pStyle w:val="Heading2"/>
      </w:pPr>
      <w:r>
        <w:t>Ambulante Nachsorge bei Diabetes nach ED-Entlassung</w:t>
      </w:r>
    </w:p>
    <w:p>
      <w:r>
        <w:rPr>
          <w:i/>
          <w:color w:val="666666"/>
          <w:sz w:val="18"/>
        </w:rPr>
        <w:t>Zikry HE et al.  ·  J Gen Intern Med  ·  26.08.2026  ·  PMID 42649455</w:t>
      </w:r>
    </w:p>
    <w:p>
      <w:r>
        <w:t>Retrospektive Kohortenstudie (131.881 Patienten mit kommerzieller/MA-Versicherung, 2016–2022) zu Häufigkeit, Timing und Patientencharakteristika für ambulante Nachsorge innerhalb 30 Tage nach ED-Entlassung wegen Diabetes.</w:t>
      </w:r>
    </w:p>
    <w:p>
      <w:r>
        <w:rPr>
          <w:b/>
        </w:rPr>
        <w:t xml:space="preserve">Ergebnis: </w:t>
      </w:r>
      <w:r>
        <w:t>46,1 % erhielten ambulante Nachsorge innerhalb 30 Tagen; 13,0 % kehrten vorher zur ED zurück. Nachsorgeraten stiegen moderat von 44 % (2016) auf 49 % (2022). Höheres Alter, kommerzielle Versicherung und vorherige ambulante Versorgungskontakte waren mit höherer Wahrscheinlichkeit assoziiert. Nicht-hispanische Schwarze, MA-Versicherte mit Niedrigeinkommenszuschuss, höhere Komorbiditäten und Typ-1-Diabetes zeigten niedrigere Wahrscheinlichkeit.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Kontinuitätslücke und Versorgungsübergänge sind systemunabhängig relevant</w:t>
      </w:r>
    </w:p>
    <w:p>
      <w:r>
        <w:rPr>
          <w:color w:val="5A7D3A"/>
          <w:sz w:val="18"/>
        </w:rPr>
        <w:t>https://pubmed.ncbi.nlm.nih.gov/42649455/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2026-08-29T06:00:00Z</dcterms:created>
  <dcterms:modified xsi:type="dcterms:W3CDTF">2026-08-29T06:00:00Z</dcterms:modified>
  <cp:category/>
</cp:coreProperties>
</file>