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24.10.2026  |  6 Studien  |  wissen.m-vf.de</w:t>
      </w:r>
    </w:p>
    <w:p>
      <w:pPr>
        <w:pStyle w:val="Heading1"/>
      </w:pPr>
      <w:r>
        <w:t>Aufgenommen am 24.10.2026</w:t>
      </w:r>
    </w:p>
    <w:p>
      <w:pPr>
        <w:pStyle w:val="Heading2"/>
      </w:pPr>
      <w:r>
        <w:t>Resilienzfaktoren bei Altenpflegekräften: Mixed-Methods-Studie</w:t>
      </w:r>
    </w:p>
    <w:p>
      <w:r>
        <w:rPr>
          <w:i/>
          <w:color w:val="666666"/>
          <w:sz w:val="18"/>
        </w:rPr>
        <w:t>Cantarelli P et al.  ·  BMC Health Serv Res  ·  27.07.2026  ·  PMID 42919231</w:t>
      </w:r>
    </w:p>
    <w:p>
      <w:r>
        <w:t>Die Studie untersuchte persönliche und organisationale Prädiktoren von Resilienz bei Fachkräften in stationären Altenpflegeeinrichtungen in Italien durch eine Querschnittsbefragung (n=231) und vier Fokusgruppen.</w:t>
      </w:r>
    </w:p>
    <w:p>
      <w:r>
        <w:rPr>
          <w:b/>
        </w:rPr>
        <w:t xml:space="preserve">Ergebnis: </w:t>
      </w:r>
      <w:r>
        <w:t>Psychisches Wohlbefinden war der stärkste Prädiktor für individuelle Resilienz (multivariate Analyse), gefolgt von organisationaler Resilienzkapazität. Burnout, Kündigungsabsicht und Selbstbeurteilung der Gesundheit zeigten keine signifikanten Assoziationen mit Resilienz. Qualitative Befunde: Beziehungssinn in der Pflege als Schlüsselquelle für psychologische Belohnung, Teamwork und organisationale Unterstützung als zentral für Resilienz.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aber ähnliche Struktur stationärer Altenpflege wie Deutschland</w:t>
      </w:r>
    </w:p>
    <w:p>
      <w:r>
        <w:rPr>
          <w:color w:val="5A7D3A"/>
          <w:sz w:val="18"/>
        </w:rPr>
        <w:t>https://pubmed.ncbi.nlm.nih.gov/42919231/</w:t>
      </w:r>
    </w:p>
    <w:p>
      <w:pPr>
        <w:pStyle w:val="Heading2"/>
      </w:pPr>
      <w:r>
        <w:t>Chatbot zur Telemedizin-Unterstützung bei Diabetes: Mixed-Methods-Studie</w:t>
      </w:r>
    </w:p>
    <w:p>
      <w:r>
        <w:rPr>
          <w:i/>
          <w:color w:val="666666"/>
          <w:sz w:val="18"/>
        </w:rPr>
        <w:t>Ong RHS et al.  ·  J Med Internet Res  ·  23.10.2026  ·  PMID 42913398</w:t>
      </w:r>
    </w:p>
    <w:p>
      <w:r>
        <w:t>Embedded Mixed-Methods-Evaluierung eines klinisch-protokollgestützten Chatbots (Siu Dai) zur Unterstützung von Telecare-Fachkräften und Diabetespatienten (n=14: 7 Patienten, 7 Fachkräfte).</w:t>
      </w:r>
    </w:p>
    <w:p>
      <w:r>
        <w:rPr>
          <w:b/>
        </w:rPr>
        <w:t xml:space="preserve">Ergebnis: </w:t>
      </w:r>
      <w:r>
        <w:t>Patienten: hohe Engagement (79% abgeschlossener Sessions, Median 2:58 Min), hohe Zufriedenheit (86% würden empfehlen). Fachkräfte zurückhaltender (43% befürworten universelle Ausrollung). System Usability Scale 60,3±9,6 (akzeptabel). Qualitativ fünf Themen: Usability, Prozessintegration, Akzeptanzfaktoren, wahrgenommene Effizienz, Verbesserungsvorschläge. Barrieren: fehlende EMR-Integration, Inhaltredundanz.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Singapur-Daten; telemedizinische Prozesse aber systemunabhängig relevant</w:t>
      </w:r>
    </w:p>
    <w:p>
      <w:r>
        <w:rPr>
          <w:color w:val="5A7D3A"/>
          <w:sz w:val="18"/>
        </w:rPr>
        <w:t>https://pubmed.ncbi.nlm.nih.gov/42913398/</w:t>
      </w:r>
    </w:p>
    <w:p>
      <w:pPr>
        <w:pStyle w:val="Heading2"/>
      </w:pPr>
      <w:r>
        <w:t>PrEP-Adoption bei Sexarbeiterinnen in Äthiopien: Einflussfaktoren</w:t>
      </w:r>
    </w:p>
    <w:p>
      <w:r>
        <w:rPr>
          <w:i/>
          <w:color w:val="666666"/>
          <w:sz w:val="18"/>
        </w:rPr>
        <w:t>Lema M et al.  ·  BMC Health Serv Res  ·  25.07.2026  ·  PMID 42908021</w:t>
      </w:r>
    </w:p>
    <w:p>
      <w:r>
        <w:t>Querschnittsstudie mit 422 HIV-negativen Sexarbeiterinnen zur Untersuchung von Faktoren, die PrEP-Adoption beeinflussen.</w:t>
      </w:r>
    </w:p>
    <w:p>
      <w:r>
        <w:rPr>
          <w:b/>
        </w:rPr>
        <w:t xml:space="preserve">Ergebnis: </w:t>
      </w:r>
      <w:r>
        <w:t>PrEP-Uptake 43,3% (95%-KI 38,6–48,1%). Signifikant assoziiert mit PrEP-Nutzung: Alter &gt;24 Jahre (AOR 2,03), PrEP-Bewusstsein (AOR 2,53), HIV-Risikoperzeption (AOR 1,89), flexible Arbeitszeiten (AOR 2,89). Keine signifikanten Assoziationen mit Substanzabhängigkeit, Kondomnutzung oder religiösen Überzeugungen.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Begrenzt: Subsahara-Afrika, anderes Gesundheitssystem, Frage aber systemunabhängig</w:t>
      </w:r>
    </w:p>
    <w:p>
      <w:r>
        <w:rPr>
          <w:color w:val="5A7D3A"/>
          <w:sz w:val="18"/>
        </w:rPr>
        <w:t>https://pubmed.ncbi.nlm.nih.gov/42908021/</w:t>
      </w:r>
    </w:p>
    <w:p>
      <w:pPr>
        <w:pStyle w:val="Heading2"/>
      </w:pPr>
      <w:r>
        <w:t>Apothekengestützte Kontinenzversorgung (PRIME): Co-Production-Studie</w:t>
      </w:r>
    </w:p>
    <w:p>
      <w:r>
        <w:rPr>
          <w:i/>
          <w:color w:val="666666"/>
          <w:sz w:val="18"/>
        </w:rPr>
        <w:t>Cotterill N et al.  ·  BMC Health Serv Res  ·  24.07.2026  ·  PMID 42907888</w:t>
      </w:r>
    </w:p>
    <w:p>
      <w:r>
        <w:t>UK-Online-Umfrage mit 29 Apothekern und zwei Workshops mit 16 Stakeholdern (Apotheker, Fachkräfte, Patienten, Kommissare) zur Entwicklung einer Servicespezifikation für Blasen- und Darmgesundheit.</w:t>
      </w:r>
    </w:p>
    <w:p>
      <w:r>
        <w:rPr>
          <w:b/>
        </w:rPr>
        <w:t xml:space="preserve">Ergebnis: </w:t>
      </w:r>
      <w:r>
        <w:t>Umfrage: Apotheken bieten einige Lebensstiländerungsberatung an, substanzielles Ausbaupotenzial erkannt. Workshops entwickelten dreistufige PBBS-Servicespezifikation: Tier 1 (Aufklärung, Signposting), Tier 2 (Bewertung, Selbsthilferatschläge), Tier 3 (spezialisierte Behandlung). Kritische Anforderungen: Informationsaustausch, Schulung, Vergütung.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UK-Studie, aber Apotheken-Versorgungsforschung auf Primärversorgung übertragbar</w:t>
      </w:r>
    </w:p>
    <w:p>
      <w:r>
        <w:rPr>
          <w:color w:val="5A7D3A"/>
          <w:sz w:val="18"/>
        </w:rPr>
        <w:t>https://pubmed.ncbi.nlm.nih.gov/42907888/</w:t>
      </w:r>
    </w:p>
    <w:p>
      <w:pPr>
        <w:pStyle w:val="Heading2"/>
      </w:pPr>
      <w:r>
        <w:t>Rolle von Gemeindegesundheitshelfern in Delhi: qualitative Erfahrungen</w:t>
      </w:r>
    </w:p>
    <w:p>
      <w:r>
        <w:rPr>
          <w:i/>
          <w:color w:val="666666"/>
          <w:sz w:val="18"/>
        </w:rPr>
        <w:t>Steenbeek A et al.  ·  BMC Health Serv Res  ·  27.07.2026  ·  PMID 42907877</w:t>
      </w:r>
    </w:p>
    <w:p>
      <w:r>
        <w:t>Qualitative Deskriptivanalyse mit 12 Gemeindegesundheitshelfern, 5 Gemeindemitgliedern und 4 Gemeindeleitern in Delhi während und nach COVID-19 (März–Mai 2025).</w:t>
      </w:r>
    </w:p>
    <w:p>
      <w:r>
        <w:rPr>
          <w:b/>
        </w:rPr>
        <w:t xml:space="preserve">Ergebnis: </w:t>
      </w:r>
      <w:r>
        <w:t>Drei Kategorien aus Angebots-Sicht: Vertrauen und Respekt, professionelle Werte, Normen/Kultur/Familie. Eine Kategorie aus Nachfrage-Sicht: Gemeinschaftsbedarf. COVID-19-Auswirkungen und Bedenken zur Versorgungsqualität über alle Domänen evident. Wichtigste Befunde: Notwendigkeit von Forschung zu soziokulturellen Einflüssen, Anreiz-Nachhaltigkeit und digitalen Technologien.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Indien; qualitative Einsichten zu CHW-Rollen aber teilweise übertragbar</w:t>
      </w:r>
    </w:p>
    <w:p>
      <w:r>
        <w:rPr>
          <w:color w:val="5A7D3A"/>
          <w:sz w:val="18"/>
        </w:rPr>
        <w:t>https://pubmed.ncbi.nlm.nih.gov/42907877/</w:t>
      </w:r>
    </w:p>
    <w:p>
      <w:pPr>
        <w:pStyle w:val="Heading2"/>
      </w:pPr>
      <w:r>
        <w:t>Patientenreisen bei Kindern mit Chronischerkrankungen in Deutschland</w:t>
      </w:r>
    </w:p>
    <w:p>
      <w:r>
        <w:rPr>
          <w:i/>
          <w:color w:val="666666"/>
          <w:sz w:val="18"/>
        </w:rPr>
        <w:t>Herr CJ et al.  ·  Eur J Pediatr  ·  22.10.2026  ·  PMID 42907562</w:t>
      </w:r>
    </w:p>
    <w:p>
      <w:r>
        <w:t>Qualitative Studie mit 22 Fachkräften (7 Ärzte, 8 Therapeuten, 7 Sozialarbeiter) zur Erkundung von Perspektiven auf Versorgungspfade von Kindern mit chronischen Erkrankungen.</w:t>
      </w:r>
    </w:p>
    <w:p>
      <w:r>
        <w:rPr>
          <w:b/>
        </w:rPr>
        <w:t xml:space="preserve">Ergebnis: </w:t>
      </w:r>
      <w:r>
        <w:t>Fünf Themen identifiziert: Versorgung wird als fragmentiert, schwer navigierbar und schlecht koordiniert wahrgenommen. Hauptbarrieren: lange Wartezeiten, unkare Versorgungspfade, begrenzte interprofessionelle Kommunikation. Besondere Schwierigkeiten bei sozioökonomischen Benachteiligungen und Sprachbarrieren. Empfehlung: bessere Systemkoordination und Erreichbarkeit.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mit deutschen Daten und System</w:t>
      </w:r>
    </w:p>
    <w:p>
      <w:r>
        <w:rPr>
          <w:color w:val="5A7D3A"/>
          <w:sz w:val="18"/>
        </w:rPr>
        <w:t>https://pubmed.ncbi.nlm.nih.gov/42907562/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2026-10-24T06:00:00Z</dcterms:created>
  <dcterms:modified xsi:type="dcterms:W3CDTF">2026-10-24T06:00:00Z</dcterms:modified>
  <cp:category/>
</cp:coreProperties>
</file>