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04.10.2026  |  7 Studien  |  wissen.m-vf.de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Längere MOUD-Dauer senkt postpartales Überdosis- und Sterblichkeitsrisiko</w:t>
      </w:r>
    </w:p>
    <w:p>
      <w:r>
        <w:rPr>
          <w:i/>
          <w:color w:val="666666"/>
          <w:sz w:val="18"/>
        </w:rPr>
        <w:t>Kim A et al.  ·  JAMA Netw Open  ·  01.10.2026  ·  PMID 42826020</w:t>
      </w:r>
    </w:p>
    <w:p>
      <w:r>
        <w:t>Retrospektive Kohorte mit Tennessee-Medicaid-Daten zu Schwangerschaften mit Medikamentöser Opioid-Abhängigkeitsbehandlung (MOUD) und postpartalem Überdosis-/Mortalitätsrisiko.</w:t>
      </w:r>
    </w:p>
    <w:p>
      <w:r>
        <w:rPr>
          <w:b/>
        </w:rPr>
        <w:t xml:space="preserve">Ergebnis: </w:t>
      </w:r>
      <w:r>
        <w:t>Unter 9.360 Schwangerschaften betrug die 1-Jahres-Postpartum-Mortalität/-Überdosisrate 1,58% (148 Fälle). Längere MOUD-Dauer während Schwangerschaft assoziiert mit niedrigerem Risiko: adjustierte Hazard Ratio für 132 vs. 1 Tag MOUD-Versorgung 0,52 (95%-KI 0,31–0,88).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US-Medicaid-Daten; Fragestellung zur kontinuierlichen Opioid-Substitutionsbehandlung systemunabhängig relevant.</w:t>
      </w:r>
    </w:p>
    <w:p>
      <w:r>
        <w:rPr>
          <w:color w:val="5A7D3A"/>
          <w:sz w:val="18"/>
        </w:rPr>
        <w:t>https://pubmed.ncbi.nlm.nih.gov/42826020/</w:t>
      </w:r>
    </w:p>
    <w:p>
      <w:pPr>
        <w:pStyle w:val="Heading2"/>
      </w:pPr>
      <w:r>
        <w:t>Regionale Disparitäten beim direkten Rettungsdienst-Transport zu geriatrischen Notfallstationen</w:t>
      </w:r>
    </w:p>
    <w:p>
      <w:r>
        <w:rPr>
          <w:i/>
          <w:color w:val="666666"/>
          <w:sz w:val="18"/>
        </w:rPr>
        <w:t>Varg S et al.  ·  BMC Geriatr  ·  02.10.2026  ·  PMID 42823763</w:t>
      </w:r>
    </w:p>
    <w:p>
      <w:r>
        <w:t>Schwedische Register-Studie zu geografischen Unterschieden bei direkter Rettungsdienst-Zuweisung älterer Patienten (≥65J.) zu Notaufnahmen versus geriatrischen Spezialstationen.</w:t>
      </w:r>
    </w:p>
    <w:p>
      <w:r>
        <w:rPr>
          <w:b/>
        </w:rPr>
        <w:t xml:space="preserve">Ergebnis: </w:t>
      </w:r>
      <w:r>
        <w:t>Von 8.208 älteren Patienten wurden 7% (603) direkt zu geriatrischen Stationen transportiert. Zwischen Krankenhauseinzugsgebieten stark variierend (4–21%). Nach Adjustierung reduzierte sich Varianz um 41%, aber erhebliche regionale Unterschiede blieben (MOR=1,54).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(Steuerfinanzierung); Prozessqualität und Zugangssteuerung in Primärversorgung auf deutsche Kontexte nur eingeschränkt übertragbar.</w:t>
      </w:r>
    </w:p>
    <w:p>
      <w:r>
        <w:rPr>
          <w:color w:val="5A7D3A"/>
          <w:sz w:val="18"/>
        </w:rPr>
        <w:t>https://pubmed.ncbi.nlm.nih.gov/42823763/</w:t>
      </w:r>
    </w:p>
    <w:p>
      <w:pPr>
        <w:pStyle w:val="Heading2"/>
      </w:pPr>
      <w:r>
        <w:t>Aktualisiertes WHO-STEPS-Modul zur Mundhygiene-Surveillance in der Bevölkerung</w:t>
      </w:r>
    </w:p>
    <w:p>
      <w:r>
        <w:rPr>
          <w:i/>
          <w:color w:val="666666"/>
          <w:sz w:val="18"/>
        </w:rPr>
        <w:t>Rendell N et al.  ·  Bull World Health Organ  ·  01.10.2026  ·  PMID 42820175</w:t>
      </w:r>
    </w:p>
    <w:p>
      <w:r>
        <w:t>WHO-Entwicklung eines aktualisierten Moduls zur Routine-Überwachung von Mundhygieneproblemen in Bevölkerungsumfragen zu nichtübertragbaren Erkrankungen.</w:t>
      </w:r>
    </w:p>
    <w:p>
      <w:r>
        <w:rPr>
          <w:b/>
        </w:rPr>
        <w:t xml:space="preserve">Ergebnis: </w:t>
      </w:r>
      <w:r>
        <w:t>Neues STEPS-Modul ergänzt bisherige Selbstangaben durch klinische Bewertungskomponente. Kann von Zahn- und Nicht-Zahnfachpersonal nach kurzer Schulung durchgeführt werden. Praktisch skalierbar zur Schließung persistierender Überwachungslücken.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WHO-Empfehlung für globale Anwendbarkeit; für deutsche Public-Health-Surveillance relevant.</w:t>
      </w:r>
    </w:p>
    <w:p>
      <w:r>
        <w:rPr>
          <w:color w:val="5A7D3A"/>
          <w:sz w:val="18"/>
        </w:rPr>
        <w:t>https://pubmed.ncbi.nlm.nih.gov/42820175/</w:t>
      </w:r>
    </w:p>
    <w:p>
      <w:pPr>
        <w:pStyle w:val="Heading2"/>
      </w:pPr>
      <w:r>
        <w:t>Standardisierte Entlassungskriterien von Intensivstationen: Pilotimplementierung</w:t>
      </w:r>
    </w:p>
    <w:p>
      <w:r>
        <w:rPr>
          <w:i/>
          <w:color w:val="666666"/>
          <w:sz w:val="18"/>
        </w:rPr>
        <w:t>Hiller M et al.  ·  BMC Health Serv Res  ·  28.09.2026  ·  PMID 42811355</w:t>
      </w:r>
    </w:p>
    <w:p>
      <w:r>
        <w:t>Deutsche prospektive Pilotstudie zur Implementierbarkeit und klinischen Nutzbarkeit eines standardisierten Satzes von ICU-Entlassungskriterien in zwei Kliniken.</w:t>
      </w:r>
    </w:p>
    <w:p>
      <w:r>
        <w:rPr>
          <w:b/>
        </w:rPr>
        <w:t xml:space="preserve">Ergebnis: </w:t>
      </w:r>
      <w:r>
        <w:t>Elf patientenspezifische und organisationsspezifische Kriterien zeigten &gt;80% Completion bei Entlassungsentscheidungen und wurden als Kern-Set definiert. Organisationsspezifische Kriterien sollten je Klinik, Patientengruppen und Empfängerabteilungen angepasst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zwei ICU-Stationen; direkt auf deutsches Versorgungssystem übertragbar.</w:t>
      </w:r>
    </w:p>
    <w:p>
      <w:r>
        <w:rPr>
          <w:color w:val="5A7D3A"/>
          <w:sz w:val="18"/>
        </w:rPr>
        <w:t>https://pubmed.ncbi.nlm.nih.gov/42811355/</w:t>
      </w:r>
    </w:p>
    <w:p>
      <w:pPr>
        <w:pStyle w:val="Heading2"/>
      </w:pPr>
      <w:r>
        <w:t>Arbeitgeberperspektiven auf Arbeitsplatzinklusion bei psychischen Erkrankungen</w:t>
      </w:r>
    </w:p>
    <w:p>
      <w:r>
        <w:rPr>
          <w:i/>
          <w:color w:val="666666"/>
          <w:sz w:val="18"/>
        </w:rPr>
        <w:t>Krumm S et al.  ·  BMC Health Serv Res  ·  28.09.2026  ·  PMID 42811348</w:t>
      </w:r>
    </w:p>
    <w:p>
      <w:r>
        <w:t>Qualitative Interview-Studie mit 29 deutschen Arbeitgebern zu Sichtweisen auf Inklusion von Arbeitnehmern mit psychischen Problemen.</w:t>
      </w:r>
    </w:p>
    <w:p>
      <w:r>
        <w:rPr>
          <w:b/>
        </w:rPr>
        <w:t xml:space="preserve">Ergebnis: </w:t>
      </w:r>
      <w:r>
        <w:t>Arbeitgeber beschrieben ambivalente Orientierungen: Normalisierungstrends einerseits, aber Verunsicherung bei Arbeitsorganisation, Teamdynamiken und Vorhersehbarkeit andererseits. Offenbarung, Eigenverantwortung und gegenseitiges Vertrauen wurden als zentral für Unterstützung betont.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Qualitätsstudie; direkt für deutsche Arbeitsmarkt- und Versorgungspolitik relevant.</w:t>
      </w:r>
    </w:p>
    <w:p>
      <w:r>
        <w:rPr>
          <w:color w:val="5A7D3A"/>
          <w:sz w:val="18"/>
        </w:rPr>
        <w:t>https://pubmed.ncbi.nlm.nih.gov/42811348/</w:t>
      </w:r>
    </w:p>
    <w:p>
      <w:pPr>
        <w:pStyle w:val="Heading2"/>
      </w:pPr>
      <w:r>
        <w:t>Radiotherapie-Personalnotstand UK: Reforming der Zertifizierung zur Schließung der Lücke</w:t>
      </w:r>
    </w:p>
    <w:p>
      <w:r>
        <w:rPr>
          <w:i/>
          <w:color w:val="666666"/>
          <w:sz w:val="18"/>
        </w:rPr>
        <w:t>Vulpe H et al.  ·  Eur J Cancer  ·  16.09.2026  ·  PMID 42810149</w:t>
      </w:r>
    </w:p>
    <w:p>
      <w:r>
        <w:t>Politische Analyse zur Personalknappheit in der klinischen Onkologie/Strahlentherapie im UK und Vorschlag für Regulierungsreform zur internationalen Rekrutierung.</w:t>
      </w:r>
    </w:p>
    <w:p>
      <w:r>
        <w:rPr>
          <w:b/>
        </w:rPr>
        <w:t xml:space="preserve">Ergebnis: </w:t>
      </w:r>
      <w:r>
        <w:t>17% Unterbesetzung in klinischer Onkologie heute, 26% prognostiziert bis 2030. UK-Dualausbildung (Radiotherapie + Systemtherapie) behindert Rekrutierung international trainierter Radiation Oncologists aus Systemen mit separaten Fachrichtungen.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UK-Healthcare-System mit NHS; Regulierungsfragen systemabhängig, aber Workforceplanung grundsätzlich relevant.</w:t>
      </w:r>
    </w:p>
    <w:p>
      <w:r>
        <w:rPr>
          <w:color w:val="5A7D3A"/>
          <w:sz w:val="18"/>
        </w:rPr>
        <w:t>https://pubmed.ncbi.nlm.nih.gov/42810149/</w:t>
      </w:r>
    </w:p>
    <w:p>
      <w:pPr>
        <w:pStyle w:val="Heading2"/>
      </w:pPr>
      <w:r>
        <w:t>Geschlechter- und Diversitätsfaktoren in psychiatrischer Krankenhausbehandlung: Studienprotokoll PSY-DIVER</w:t>
      </w:r>
    </w:p>
    <w:p>
      <w:r>
        <w:rPr>
          <w:i/>
          <w:color w:val="666666"/>
          <w:sz w:val="18"/>
        </w:rPr>
        <w:t>Peters SJ et al.  ·  BMC Psychiatry  ·  24.09.2026  ·  PMID 42806324</w:t>
      </w:r>
    </w:p>
    <w:p>
      <w:r>
        <w:t>Deutsches Studienprotokoll zur Untersuchung von Geschlechts- und Diversitätsfaktoren (Alter, Migration, sexuelle Orientierung, Religion, SES) in der stationären psychiatrischen Versorgung.</w:t>
      </w:r>
    </w:p>
    <w:p>
      <w:r>
        <w:rPr>
          <w:b/>
        </w:rPr>
        <w:t xml:space="preserve">Ergebnis: </w:t>
      </w:r>
      <w:r>
        <w:t>Geplantes Mixed-Methods-Design mit Routinedaten-Analyse (500.000 stationäre Fälle 2015–2024), 31 Interviews und Online-Befragungen, Delphi-Prozess. NLP-gestützte Extraktion von Diversitätsvariablen aus klinischen Texten.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Studienplanung, neun psychiatrische LVR-Kliniken; hochgradig auf deutsches System übertragbar.</w:t>
      </w:r>
    </w:p>
    <w:p>
      <w:r>
        <w:rPr>
          <w:color w:val="5A7D3A"/>
          <w:sz w:val="18"/>
        </w:rPr>
        <w:t>https://pubmed.ncbi.nlm.nih.gov/42806324/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