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18.09.2026  |  6 Studien  |  wissen.m-vf.de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Workforce readiness for Advance Care Planning in ID services</w:t>
      </w:r>
    </w:p>
    <w:p>
      <w:r>
        <w:rPr>
          <w:i/>
          <w:color w:val="666666"/>
          <w:sz w:val="18"/>
        </w:rPr>
        <w:t>Zeilinger EL Prof Dr et al.  ·  J Pain Symptom Manage  ·  17.09.2026  ·  PMID 42754183</w:t>
      </w:r>
    </w:p>
    <w:p>
      <w:r>
        <w:t>Österreichische Querschnittstudie zur Bereitschaft von Betreuungspersonen in Wohneinrichtungen für Menschen mit Behinderungen, ACP-Gespräche zu führen.</w:t>
      </w:r>
    </w:p>
    <w:p>
      <w:r>
        <w:rPr>
          <w:b/>
        </w:rPr>
        <w:t xml:space="preserve">Ergebnis: </w:t>
      </w:r>
      <w:r>
        <w:t>67,7 % der 127 Befragten kannten Patientenverfügungen, aber nur 1,6 % konnten ACP erklären. 68,5 % fühlten sich komfortabel bei ACP-Gesprächen, 85,8 % sahen ACP als wichtig an, und 77,2 % sahen es als ihre Verantwortung. Fehlende konzeptionelle Vorbereitung trotz hoher Unterstützung für ACP.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Österreich, ähnliche Systemstruktur und Versorgungskontext wie Deutschland</w:t>
      </w:r>
    </w:p>
    <w:p>
      <w:r>
        <w:rPr>
          <w:color w:val="5A7D3A"/>
          <w:sz w:val="18"/>
        </w:rPr>
        <w:t>https://pubmed.ncbi.nlm.nih.gov/42754183/</w:t>
      </w:r>
    </w:p>
    <w:p>
      <w:pPr>
        <w:pStyle w:val="Heading2"/>
      </w:pPr>
      <w:r>
        <w:t>Multilevel-Faktoren bei Non-Response zu Patient-Reported Outcome Measures</w:t>
      </w:r>
    </w:p>
    <w:p>
      <w:r>
        <w:rPr>
          <w:i/>
          <w:color w:val="666666"/>
          <w:sz w:val="18"/>
        </w:rPr>
        <w:t>Liu JB et al.  ·  Qual Life Res  ·  17.09.2026  ·  PMID 42753022</w:t>
      </w:r>
    </w:p>
    <w:p>
      <w:r>
        <w:t>US-Kohortenanalyse von 12.214 Patienten an fünf Strahlentherapie-Kliniken zu Faktoren auf Patient-, Provider- und Klinikebene, die Non-Response zu PROMIS Global-10 vorhersagen.</w:t>
      </w:r>
    </w:p>
    <w:p>
      <w:r>
        <w:rPr>
          <w:b/>
        </w:rPr>
        <w:t xml:space="preserve">Ergebnis: </w:t>
      </w:r>
      <w:r>
        <w:t>Patient- und Termin-Response-Raten: 35,4 % bzw. 31,7 %; Response variierte zwischen Kliniken 12,8–66,2 %. Nach Adjustierung: jüngste Operation (aOR 1,97) und längere Diagnosedauer (aOR 0,46 für &gt;12 Monate) persistierten. Klinik-Implementierungsfaktoren (späte Programmstartzeit aOR 0,29) waren stärker als Patientenmerkmale.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- Methodologie zu PROM-Implementierung systemunabhängig relevant für deutsches QM</w:t>
      </w:r>
    </w:p>
    <w:p>
      <w:r>
        <w:rPr>
          <w:color w:val="5A7D3A"/>
          <w:sz w:val="18"/>
        </w:rPr>
        <w:t>https://pubmed.ncbi.nlm.nih.gov/42753022/</w:t>
      </w:r>
    </w:p>
    <w:p>
      <w:pPr>
        <w:pStyle w:val="Heading2"/>
      </w:pPr>
      <w:r>
        <w:t>Finanzielle Auswirkungen von Schwangerschaft und Geburt bei Louisiana Medicaid</w:t>
      </w:r>
    </w:p>
    <w:p>
      <w:r>
        <w:rPr>
          <w:i/>
          <w:color w:val="666666"/>
          <w:sz w:val="18"/>
        </w:rPr>
        <w:t>Walker B et al.  ·  Health Serv Res  ·  Okt. 2026  ·  PMID 42751818</w:t>
      </w:r>
    </w:p>
    <w:p>
      <w:r>
        <w:t>US-Studie zu Auswirkungen von Schwangerschaft auf Verschuldung und Kreditscores bei Medicaid-Versicherten, stratifiziert nach Ethnie.</w:t>
      </w:r>
    </w:p>
    <w:p>
      <w:r>
        <w:rPr>
          <w:b/>
        </w:rPr>
        <w:t xml:space="preserve">Ergebnis: </w:t>
      </w:r>
      <w:r>
        <w:t>Nicht-hispanische schwarze Frauen zeigten negative finanzielle Folgen: Kreditscores sanken um 4 Punkte (95%-KI: -5,65 bis -1,81), medizinische Schulden stiegen um 41 USD (KI: 6–75), andere Schulden um 44 USD (KI: 15–74). Nicht-hispanische weiße Frauen zeigten keine nachteiligen Auswirkungen.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USA/Medicaid - Fragestellung aber zu Equity und Versorgungsgerechtigkeit systemunabhängig relevant</w:t>
      </w:r>
    </w:p>
    <w:p>
      <w:r>
        <w:rPr>
          <w:color w:val="5A7D3A"/>
          <w:sz w:val="18"/>
        </w:rPr>
        <w:t>https://pubmed.ncbi.nlm.nih.gov/42751818/</w:t>
      </w:r>
    </w:p>
    <w:p>
      <w:pPr>
        <w:pStyle w:val="Heading2"/>
      </w:pPr>
      <w:r>
        <w:t>Lernen zur Unterstützung von Klientenautonomie in Pflegepraktika</w:t>
      </w:r>
    </w:p>
    <w:p>
      <w:r>
        <w:rPr>
          <w:i/>
          <w:color w:val="666666"/>
          <w:sz w:val="18"/>
        </w:rPr>
        <w:t>Knibbeler MMCJ et al.  ·  Int J Nurs Stud Adv  ·  05.09.2026  ·  PMID 42751206</w:t>
      </w:r>
    </w:p>
    <w:p>
      <w:r>
        <w:t>Qualitative Studie aus Niederlanden zur Frage, wie Pflegestudierende während des klinischen Praktikums lernen, Klientenautonomie zu unterstützen.</w:t>
      </w:r>
    </w:p>
    <w:p>
      <w:r>
        <w:rPr>
          <w:b/>
        </w:rPr>
        <w:t xml:space="preserve">Ergebnis: </w:t>
      </w:r>
      <w:r>
        <w:t>Autonomieförderung war in der Praxis präsent aber inkonsistent; Betreuer interpretierten Autonomie oft als Selbstständigkeit statt Partizipation in Entscheidungen. Implizites Lernen durch Beobachtung dominierte; strukturierte Reflexion war selten. Supervision und Feedback durch Betreuer waren nicht systematisch.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Pflegeausbildungssystem und Versorgungskontext</w:t>
      </w:r>
    </w:p>
    <w:p>
      <w:r>
        <w:rPr>
          <w:color w:val="5A7D3A"/>
          <w:sz w:val="18"/>
        </w:rPr>
        <w:t>https://pubmed.ncbi.nlm.nih.gov/42751206/</w:t>
      </w:r>
    </w:p>
    <w:p>
      <w:pPr>
        <w:pStyle w:val="Heading2"/>
      </w:pPr>
      <w:r>
        <w:t>Mundgesundheitspflege in Langzeiteinrichtungen: Barrieren und Enabler</w:t>
      </w:r>
    </w:p>
    <w:p>
      <w:r>
        <w:rPr>
          <w:i/>
          <w:color w:val="666666"/>
          <w:sz w:val="18"/>
        </w:rPr>
        <w:t>Spilsbury K et al.  ·  Int J Nurs Stud Adv  ·  13.08.2026  ·  PMID 42750939</w:t>
      </w:r>
    </w:p>
    <w:p>
      <w:r>
        <w:t>Britische Scoping Review zu Faktoren auf Mikro-, Meso- und Makroebene, die Mundgesundheitspflege durch Personal in Altenheimen beeinflussen.</w:t>
      </w:r>
    </w:p>
    <w:p>
      <w:r>
        <w:rPr>
          <w:b/>
        </w:rPr>
        <w:t xml:space="preserve">Ergebnis: </w:t>
      </w:r>
      <w:r>
        <w:t>63 Studien eingeschlossen. Häufigste Einflussfaktoren im COM-B-Modell waren Opportunity-Faktoren (Umgebung, Ressourcen, soziale Einflüsse). Wichtigste Enabler: Schulung, Mundgesundheitskampagnen, unterstützende Führung, Assessmentsysteme. Schlüsselbarrieren: Personalknappheit, Zeitdruck, begrenzte Schulung, niedrige organisationale Priorität, eingeschränkter Zugang zu Zahnservices.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Empfehlungen für Langzeitpflege in Deutschland direkt anwendbar</w:t>
      </w:r>
    </w:p>
    <w:p>
      <w:r>
        <w:rPr>
          <w:color w:val="5A7D3A"/>
          <w:sz w:val="18"/>
        </w:rPr>
        <w:t>https://pubmed.ncbi.nlm.nih.gov/42750939/</w:t>
      </w:r>
    </w:p>
    <w:p>
      <w:pPr>
        <w:pStyle w:val="Heading2"/>
      </w:pPr>
      <w:r>
        <w:t>Algorithmen zur Identifikation von HCBS in Medicaid-Claims</w:t>
      </w:r>
    </w:p>
    <w:p>
      <w:r>
        <w:rPr>
          <w:i/>
          <w:color w:val="666666"/>
          <w:sz w:val="18"/>
        </w:rPr>
        <w:t>Dihwa V et al.  ·  Health Serv Res  ·  Okt. 2026  ·  PMID 42750346</w:t>
      </w:r>
    </w:p>
    <w:p>
      <w:r>
        <w:t>US-Evaluationsstudie von drei Algorithmen zur Identifikation von Home- and Community-Based Services in Medicaid-Daten 2021–2023.</w:t>
      </w:r>
    </w:p>
    <w:p>
      <w:r>
        <w:rPr>
          <w:b/>
        </w:rPr>
        <w:t xml:space="preserve">Ergebnis: </w:t>
      </w:r>
      <w:r>
        <w:t>Zwei bestehende Algorithmen zeigten hohe Übereinstimmung (Po = 93 %, Kappa = 0,77). Ein neuer vereinheitlichter Algorithmus adressierte Diskrepanzen durch Novel-Nutzung von Waiver-IDs. Jedoch zeigten einige Bundesstaaten implausible Zählungen oder große Schwankungen über die Jahre (&gt;50 %), was auf Datenqualitätsprobleme hindeutet.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- Datenqualitätsthematik systemunabhängig, aber nur bedingt auf Deutschland übertragbar</w:t>
      </w:r>
    </w:p>
    <w:p>
      <w:r>
        <w:rPr>
          <w:color w:val="5A7D3A"/>
          <w:sz w:val="18"/>
        </w:rPr>
        <w:t>https://pubmed.ncbi.nlm.nih.gov/42750346/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2026-09-18T06:00:00Z</dcterms:created>
  <dcterms:modified xsi:type="dcterms:W3CDTF">2026-09-18T06:00:00Z</dcterms:modified>
  <cp:category/>
</cp:coreProperties>
</file>