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15.09.2026  |  6 Studien  |  wissen.m-vf.de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Design-Richtlinien für Online-Gesundheitsforen</w:t>
      </w:r>
    </w:p>
    <w:p>
      <w:r>
        <w:rPr>
          <w:i/>
          <w:color w:val="666666"/>
          <w:sz w:val="18"/>
        </w:rPr>
        <w:t>Marshall P et al.  ·  J Med Internet Res  ·  14.09.2026  ·  PMID 42735377</w:t>
      </w:r>
    </w:p>
    <w:p>
      <w:r>
        <w:t>Qualitative Studie mit 54 Interviews und Workshops zur Entwicklung evidenzgestützter Designrichtlinien für sichere Online-Gesundheitsforen basierend auf Selbstbestimmungstheorie.</w:t>
      </w:r>
    </w:p>
    <w:p>
      <w:r>
        <w:rPr>
          <w:b/>
        </w:rPr>
        <w:t xml:space="preserve">Ergebnis: </w:t>
      </w:r>
      <w:r>
        <w:t>Vier übergeordnete Designprinzipien identifiziert (Autonomie, Kompetenz, Zugehörigkeit, Sicherheit) mit pragmatischen Umsetzungsstrategien; Ergebnisse zeigen gemischte Nutzererfahrungen und Bedarf für nutzerzentrierte Weiterentwicklung.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UK-Studie, aber Fragestellung zu Prozessqualität und Nutzerperspektive systemunabhängig übertragbar.</w:t>
      </w:r>
    </w:p>
    <w:p>
      <w:r>
        <w:rPr>
          <w:color w:val="5A7D3A"/>
          <w:sz w:val="18"/>
        </w:rPr>
        <w:t>https://pubmed.ncbi.nlm.nih.gov/42735377/</w:t>
      </w:r>
    </w:p>
    <w:p>
      <w:pPr>
        <w:pStyle w:val="Heading2"/>
      </w:pPr>
      <w:r>
        <w:t>Hepatitis-B-Disparitäten bei Migranten in Dänemark</w:t>
      </w:r>
    </w:p>
    <w:p>
      <w:r>
        <w:rPr>
          <w:i/>
          <w:color w:val="666666"/>
          <w:sz w:val="18"/>
        </w:rPr>
        <w:t>Deal A et al.  ·  Eur J Public Health  ·  04.08.2026  ·  PMID 42734651</w:t>
      </w:r>
    </w:p>
    <w:p>
      <w:r>
        <w:t>Matched-Cohort-Studie mit 179.110 Migranten und 1.049.345 Dänen über 23 Jahre zur Erfassung von HBV-Diagnoseraten und Verzögerungen.</w:t>
      </w:r>
    </w:p>
    <w:p>
      <w:r>
        <w:rPr>
          <w:b/>
        </w:rPr>
        <w:t xml:space="preserve">Ergebnis: </w:t>
      </w:r>
      <w:r>
        <w:t>Migranten zeigten 30,6-fach erhöhtes HBV-Diagnosrisiko (95%-KI: 26,7–35,2); durchschnittliche Verzögerung von Ankunft bis Diagnose 5,4 Jahre; Unterversorgung bei Personen außerhalb routinemäßiger Screening-Prozesse.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Sozialversicherungssystem vergleichbar mit Deutschland, aussagekräftig für Migrantenpopulationen.</w:t>
      </w:r>
    </w:p>
    <w:p>
      <w:r>
        <w:rPr>
          <w:color w:val="5A7D3A"/>
          <w:sz w:val="18"/>
        </w:rPr>
        <w:t>https://pubmed.ncbi.nlm.nih.gov/42734651/</w:t>
      </w:r>
    </w:p>
    <w:p>
      <w:pPr>
        <w:pStyle w:val="Heading2"/>
      </w:pPr>
      <w:r>
        <w:t>Indirekte Effektivitätsvergleich Tafamidis vs. Acoramidis bei Transthyretin-Kardiomyopathie</w:t>
      </w:r>
    </w:p>
    <w:p>
      <w:r>
        <w:rPr>
          <w:i/>
          <w:color w:val="666666"/>
          <w:sz w:val="18"/>
        </w:rPr>
        <w:t>Debonnaire P et al.  ·  J Comp Eff Res  ·  14.09.2026  ·  PMID 42734113</w:t>
      </w:r>
    </w:p>
    <w:p>
      <w:r>
        <w:t>Trial-Emulation-Studie mit indirektem Vergleich zweier Transthyretin-Stabilisatoren basierend auf Registerdaten und klinischen Trials.</w:t>
      </w:r>
    </w:p>
    <w:p>
      <w:r>
        <w:rPr>
          <w:b/>
        </w:rPr>
        <w:t xml:space="preserve">Ergebnis: </w:t>
      </w:r>
      <w:r>
        <w:t>Nach Kalibrierung zeigte Acoramidis eine 42-Monats-Mortalitätsrate von 24,0% versus kalibrierte 31,2% für Tafamidis; relatives Mortalitätsrisiko 0,78 (95%-KI: 0,60–0,99), was auf 22% niedrigeres Sterblichkeitsrisiko 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Gering: US-Registerdaten; aber Fragestellung zur Vergleichbarkeit von Wirkstoffen systemunabhängig relevant.</w:t>
      </w:r>
    </w:p>
    <w:p>
      <w:r>
        <w:rPr>
          <w:color w:val="5A7D3A"/>
          <w:sz w:val="18"/>
        </w:rPr>
        <w:t>https://pubmed.ncbi.nlm.nih.gov/42734113/</w:t>
      </w:r>
    </w:p>
    <w:p>
      <w:pPr>
        <w:pStyle w:val="Heading2"/>
      </w:pPr>
      <w:r>
        <w:t>SESAME-Checkliste für Adverse-Event- und Fehlerberichterstattung</w:t>
      </w:r>
    </w:p>
    <w:p>
      <w:r>
        <w:rPr>
          <w:i/>
          <w:color w:val="666666"/>
          <w:sz w:val="18"/>
        </w:rPr>
        <w:t>Griffey RT et al.  ·  J Patient Saf  ·  11.09.2026  ·  PMID 42725452</w:t>
      </w:r>
    </w:p>
    <w:p>
      <w:r>
        <w:t>Methodisches Konsensuspapier zur Entwicklung einer 44-Item-Checkliste (SESAME) zur Standardisierung der Berichterstattung in Studien zu unerwünschten Ereignissen und medizinischen Fehlern.</w:t>
      </w:r>
    </w:p>
    <w:p>
      <w:r>
        <w:rPr>
          <w:b/>
        </w:rPr>
        <w:t xml:space="preserve">Ergebnis: </w:t>
      </w:r>
      <w:r>
        <w:t>SESAME-Checkliste mit 44 Items deckt alle kritischen Reporting-Domänen ab; Ziel ist Verbesserung der Vollständigkeit, Vergleichbarkeit und Reproduzierbarkeit; Entwicklung nach EQUATOR-Standards mit internationalem Expertenkonsens.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Internationales Konsensdokument zur Studienqualität, systemunabhängig für Patientensicherheitsforschung relevant.</w:t>
      </w:r>
    </w:p>
    <w:p>
      <w:r>
        <w:rPr>
          <w:color w:val="5A7D3A"/>
          <w:sz w:val="18"/>
        </w:rPr>
        <w:t>https://pubmed.ncbi.nlm.nih.gov/42725452/</w:t>
      </w:r>
    </w:p>
    <w:p>
      <w:pPr>
        <w:pStyle w:val="Heading2"/>
      </w:pPr>
      <w:r>
        <w:t>Koordinierter Ansatz zur integrierten Sturz- und Frakturprävention</w:t>
      </w:r>
    </w:p>
    <w:p>
      <w:r>
        <w:rPr>
          <w:i/>
          <w:color w:val="666666"/>
          <w:sz w:val="18"/>
        </w:rPr>
        <w:t>van der Velde N et al.  ·  Eur Geriatr Med  ·  10.09.2026  ·  PMID 42720850</w:t>
      </w:r>
    </w:p>
    <w:p>
      <w:r>
        <w:t>Position Paper von sieben internationalen Fachgesellschaften zu evidenzgestützter integrierter Versorgung für Sturz- und Frakturprävention bei älteren Menschen.</w:t>
      </w:r>
    </w:p>
    <w:p>
      <w:r>
        <w:rPr>
          <w:b/>
        </w:rPr>
        <w:t xml:space="preserve">Ergebnis: </w:t>
      </w:r>
      <w:r>
        <w:t>Kernerkenntnis: Fragmentierte Versorgungsstrukturen erfordern integrierte Fall- und Frakturprävention als Public-Health-Priorität; Empfehlungen für interdisziplinäre Zusammenarbeit, Trainings und systemische Ressourcenallokation.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Konsens mit Fokus auf Versorgungsprozesse, Qualität und Implementierung in Regelversorgung.</w:t>
      </w:r>
    </w:p>
    <w:p>
      <w:r>
        <w:rPr>
          <w:color w:val="5A7D3A"/>
          <w:sz w:val="18"/>
        </w:rPr>
        <w:t>https://pubmed.ncbi.nlm.nih.gov/42720850/</w:t>
      </w:r>
    </w:p>
    <w:p>
      <w:pPr>
        <w:pStyle w:val="Heading2"/>
      </w:pPr>
      <w:r>
        <w:t>Tabakrauchexposition und Gesundheitsdienstleistungen bei jungen Erwachsenen</w:t>
      </w:r>
    </w:p>
    <w:p>
      <w:r>
        <w:rPr>
          <w:i/>
          <w:color w:val="666666"/>
          <w:sz w:val="18"/>
        </w:rPr>
        <w:t>Akhtar S et al.  ·  BMC Health Serv Res  ·  04.09.2026  ·  PMID 42717348</w:t>
      </w:r>
    </w:p>
    <w:p>
      <w:r>
        <w:t>Querschnittsstudie mit 1.323 Studierenden zur Erfassung von Tabakrauchexposition, Symptomen und Inanspruchnahme von Gesundheitsdienstleistungen.</w:t>
      </w:r>
    </w:p>
    <w:p>
      <w:r>
        <w:rPr>
          <w:b/>
        </w:rPr>
        <w:t xml:space="preserve">Ergebnis: </w:t>
      </w:r>
      <w:r>
        <w:t>Exposition gegenüber Tabakrauch 55,9% (740/1.323); Husten (aOR 2,10; 95%-KI 1,66–2,64), Dyspnoe (aOR 1,30; 95%-KI 1,01–1,67) und Asthma (aOR 1,95; 95%-KI 1,43–2,65) signifikant mit Inanspruchnahme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Kuwait, aber Fragestellung zu Symptomen, Morbidität und Versorgungsnutzung epidemiologisch aussagekräftig.</w:t>
      </w:r>
    </w:p>
    <w:p>
      <w:r>
        <w:rPr>
          <w:color w:val="5A7D3A"/>
          <w:sz w:val="18"/>
        </w:rPr>
        <w:t>https://pubmed.ncbi.nlm.nih.gov/42717348/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2026-09-15T06:00:00Z</dcterms:created>
  <dcterms:modified xsi:type="dcterms:W3CDTF">2026-09-15T06:00:00Z</dcterms:modified>
  <cp:category/>
</cp:coreProperties>
</file>