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26.09.2026  |  6 Studien  |  wissen.m-vf.de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Strukturiertes Shared Decision-Making in der Krankenhausversorgung</w:t>
      </w:r>
    </w:p>
    <w:p>
      <w:r>
        <w:rPr>
          <w:i/>
          <w:color w:val="666666"/>
          <w:sz w:val="18"/>
        </w:rPr>
        <w:t>Salas-Gama K et al.  ·  J Healthc Qual Res  ·  25.09.2026  ·  PMID 42790349</w:t>
      </w:r>
    </w:p>
    <w:p>
      <w:r>
        <w:t>Entwicklung und pilotweise Implementierung eines sechsstufigen Shared-Decision-Making-Modells zur Integration in Krankenhausabläufe mit Evaluation von Machbarkeit, Akzeptabilität und Outcome.</w:t>
      </w:r>
    </w:p>
    <w:p>
      <w:r>
        <w:rPr>
          <w:b/>
        </w:rPr>
        <w:t xml:space="preserve">Ergebnis: </w:t>
      </w:r>
      <w:r>
        <w:t>Bei Adipositas berichteten SDM-Teilnehmer höheres Patientenwissen (80,0% vs. 48,8%; p&lt;0,001) und größere Entscheidungszufriedenheit (28,0 vs. 24,2; p=0,022). Bei chronischer Nierenkrankheit zeigte sich signifikant höheres Wissen (91,1% vs. 37,1%; p&lt;0,001). Machbarkeitsschwellen wurden in beiden Indikationen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Pilotprojekt im Krankenhaus - methodische Übertragbarkeit auf deutsches Setting gegeben</w:t>
      </w:r>
    </w:p>
    <w:p>
      <w:r>
        <w:rPr>
          <w:color w:val="5A7D3A"/>
          <w:sz w:val="18"/>
        </w:rPr>
        <w:t>https://pubmed.ncbi.nlm.nih.gov/42790349/</w:t>
      </w:r>
    </w:p>
    <w:p>
      <w:pPr>
        <w:pStyle w:val="Heading2"/>
      </w:pPr>
      <w:r>
        <w:t>Surgery on Foot-Protokoll: Patientenerfahrung bei Kolorektalkarzinom</w:t>
      </w:r>
    </w:p>
    <w:p>
      <w:r>
        <w:rPr>
          <w:i/>
          <w:color w:val="666666"/>
          <w:sz w:val="18"/>
        </w:rPr>
        <w:t>van Gool ISM et al.  ·  J Surg Oncol  ·  25.09.2026  ·  PMID 42788955</w:t>
      </w:r>
    </w:p>
    <w:p>
      <w:r>
        <w:t>Qualitative Studie zu Patientenerfahrungen mit dem Surgery-on-Foot-Protokoll, bei dem Patienten am OP-Tag (statt Vortagnacht) aufgenommen und zur OP gehen.</w:t>
      </w:r>
    </w:p>
    <w:p>
      <w:r>
        <w:rPr>
          <w:b/>
        </w:rPr>
        <w:t xml:space="preserve">Ergebnis: </w:t>
      </w:r>
      <w:r>
        <w:t>14 Patienten befragt; Gesamterfahrung positiv. Faktoren für Kontrollgefühl: persönlicher Umgang, involvierte Ärzte und Anwesenheit von Bezugspersonen. Einige Patienten berichteten Angst und Unbehagen bezüglich Krankenhausumgebung. Protokoll wirkte sich positiv auf patientenzentrierte Aspekte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(akademisches Krankenhaus), vergleichbares Versorgungssystem mit Deutschland</w:t>
      </w:r>
    </w:p>
    <w:p>
      <w:r>
        <w:rPr>
          <w:color w:val="5A7D3A"/>
          <w:sz w:val="18"/>
        </w:rPr>
        <w:t>https://pubmed.ncbi.nlm.nih.gov/42788955/</w:t>
      </w:r>
    </w:p>
    <w:p>
      <w:pPr>
        <w:pStyle w:val="Heading2"/>
      </w:pPr>
      <w:r>
        <w:t>Transformatives Governance-Modell für Gesundheit - Evaluierung des Programms Alles ist Gezondheid</w:t>
      </w:r>
    </w:p>
    <w:p>
      <w:r>
        <w:rPr>
          <w:i/>
          <w:color w:val="666666"/>
          <w:sz w:val="18"/>
        </w:rPr>
        <w:t>Bekker MPM et al.  ·  TSG  ·  16.09.2026  ·  PMID 42787321</w:t>
      </w:r>
    </w:p>
    <w:p>
      <w:r>
        <w:t>Mehrfachfallstudie zur Evaluierung eines niederländischen Programms für domeinoverstijgende Gesundheitsnetze; Entwicklung eines heuristischen Transformativen-Governance-Modells basierend auf Interviews, Beobachtungen und Workshops.</w:t>
      </w:r>
    </w:p>
    <w:p>
      <w:r>
        <w:rPr>
          <w:b/>
        </w:rPr>
        <w:t xml:space="preserve">Ergebnis: </w:t>
      </w:r>
      <w:r>
        <w:t>Fünf Small Wins und fünf Veränderungsmechanismen identifiziert, die sich nicht-linear gegenseitig verstärken. Konflikteskalation und -management essentiell für Anpassung von Normen und Regeln. Modell zeigt, wie Transformationsprozesse durch nationale Plattform und Zusammenarbeit ermöglicht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Sozialversicherungssystem - hohe Übertragbarkeit auf Deutschland</w:t>
      </w:r>
    </w:p>
    <w:p>
      <w:r>
        <w:rPr>
          <w:color w:val="5A7D3A"/>
          <w:sz w:val="18"/>
        </w:rPr>
        <w:t>https://pubmed.ncbi.nlm.nih.gov/42787321/</w:t>
      </w:r>
    </w:p>
    <w:p>
      <w:pPr>
        <w:pStyle w:val="Heading2"/>
      </w:pPr>
      <w:r>
        <w:t>Komplexität von Beatmungsentwöhnung in der Intensivmedizin</w:t>
      </w:r>
    </w:p>
    <w:p>
      <w:r>
        <w:rPr>
          <w:i/>
          <w:color w:val="666666"/>
          <w:sz w:val="18"/>
        </w:rPr>
        <w:t>Sterr F et al.  ·  Nurs Crit Care  ·  Nov. 2026  ·  PMID 42786673</w:t>
      </w:r>
    </w:p>
    <w:p>
      <w:r>
        <w:t>Qualitative Studie mit 29 Intensivpflegefachkräften zur Identifikation von Charakteristika und Mechanismen der Beatmungsentwöhnung als komplexe Intervention.</w:t>
      </w:r>
    </w:p>
    <w:p>
      <w:r>
        <w:rPr>
          <w:b/>
        </w:rPr>
        <w:t xml:space="preserve">Ergebnis: </w:t>
      </w:r>
      <w:r>
        <w:t>Vier Hauptthemen identifiziert: Komplexität der Beatmungsentwöhnung, Outcomes, Interventionen sowie Verknüpfungen und Wechselwirkungen. Analyse zeigt, dass Beatmungsentwöhnung durch Interaktion verschiedener Interventionen, Outcomes und kontextueller Faktoren geprägt ist und theoretisch-konzeptuell organisiert werden muss.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qualitative Analyse von Intensivpflegeprozessen - systemunabhängig übertragbar</w:t>
      </w:r>
    </w:p>
    <w:p>
      <w:r>
        <w:rPr>
          <w:color w:val="5A7D3A"/>
          <w:sz w:val="18"/>
        </w:rPr>
        <w:t>https://pubmed.ncbi.nlm.nih.gov/42786673/</w:t>
      </w:r>
    </w:p>
    <w:p>
      <w:pPr>
        <w:pStyle w:val="Heading2"/>
      </w:pPr>
      <w:r>
        <w:t>Vertrauen in Gesundheitssystem und Vermeidung von Gesundheitsleistungen</w:t>
      </w:r>
    </w:p>
    <w:p>
      <w:r>
        <w:rPr>
          <w:i/>
          <w:color w:val="666666"/>
          <w:sz w:val="18"/>
        </w:rPr>
        <w:t>Uçar M et al.  ·  BMC Health Serv Res  ·  31.08.2026  ·  PMID 42786500</w:t>
      </w:r>
    </w:p>
    <w:p>
      <w:r>
        <w:t>Querschnittsuntersuchung zum Zusammenhang zwischen medizinischem Vertrauen, Systemvertrauen und Verzögerungsverhalten bei der Inanspruchnahme sowie Einstellung zu Krebsscreening in der Primärversorgung.</w:t>
      </w:r>
    </w:p>
    <w:p>
      <w:r>
        <w:rPr>
          <w:b/>
        </w:rPr>
        <w:t xml:space="preserve">Ergebnis: </w:t>
      </w:r>
      <w:r>
        <w:t>Medizinisches Misstrauen und Systemvertrauen waren positiv mit Verzögerungsverhalten assoziiert und negativ mit Screening-Einstellungen (p&lt;0,001). Medizinisches Misstrauen zeigte stärkste unabhängige Assoziation mit Verzögerungsverhalten (β=0,59) und Screening-Einstellung (β=-0,79).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Fragestellung zum Vertrauensaufbau systemunabhängig relevant</w:t>
      </w:r>
    </w:p>
    <w:p>
      <w:r>
        <w:rPr>
          <w:color w:val="5A7D3A"/>
          <w:sz w:val="18"/>
        </w:rPr>
        <w:t>https://pubmed.ncbi.nlm.nih.gov/42786500/</w:t>
      </w:r>
    </w:p>
    <w:p>
      <w:pPr>
        <w:pStyle w:val="Heading2"/>
      </w:pPr>
      <w:r>
        <w:t>Versorgungslücken in der Rehabilitation von unter 60-Jährigen in Deutschland</w:t>
      </w:r>
    </w:p>
    <w:p>
      <w:r>
        <w:rPr>
          <w:i/>
          <w:color w:val="666666"/>
          <w:sz w:val="18"/>
        </w:rPr>
        <w:t>Armbruster C et al.  ·  BMC Health Serv Res  ·  24.09.2026  ·  PMID 42786497</w:t>
      </w:r>
    </w:p>
    <w:p>
      <w:r>
        <w:t>Exploratory Expertenbefragung zu Versorgungslücken und Machbarkeit einer indikationsübergreifenden, ambulanten Rehabilitationsversorgung für Patienten unter 60 Jahren mit komplexen Beeinträchtigungen.</w:t>
      </w:r>
    </w:p>
    <w:p>
      <w:r>
        <w:rPr>
          <w:b/>
        </w:rPr>
        <w:t xml:space="preserve">Ergebnis: </w:t>
      </w:r>
      <w:r>
        <w:t>136 Experten aus sechs Fachbereichen nahmen teil; überwiegende Mehrheit sah hohe Versorgungslücken in aktuellen Rehabilitationsdiensten. Experten bewerteten indikationsübergreifende, ambulante Rehabilitation positiv bezüglich Nutzen und Notwendigkeit, um bestehende Versorgungslücken zu schließen.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Expertenbefragung, direkt auf deutsches Versorgungssystem anwendbar</w:t>
      </w:r>
    </w:p>
    <w:p>
      <w:r>
        <w:rPr>
          <w:color w:val="5A7D3A"/>
          <w:sz w:val="18"/>
        </w:rPr>
        <w:t>https://pubmed.ncbi.nlm.nih.gov/42786497/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